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July 1,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Samedan Oil Corporation</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MaxDQ of 4,500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Frost/Starr/Texas</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Heard #1</w:t>
        <w:tab/>
        <w:tab/>
        <w:tab/>
        <w:tab/>
        <w:tab/>
        <w:t xml:space="preserve">     01-1990/Tennessee Gas Pipeline</w:t>
        <w:tab/>
        <w:tab/>
        <w:tab/>
        <w:t>100%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Meter # 020826/Tennessee Gas Pipeline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July 1, 2001 through July 31, 2001</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determined on a dry basis in accordance with Buyer's transportation contract, of $3.025.</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2001-07-13T13:55:00Z</dcterms:created>
  <dc:creator>ECT</dc:creator>
  <dc:description/>
  <dc:language>en-CA</dc:language>
  <cp:lastModifiedBy>gnemec</cp:lastModifiedBy>
  <cp:lastPrinted>2001-06-15T14:39:00Z</cp:lastPrinted>
  <dcterms:modified xsi:type="dcterms:W3CDTF">2001-07-13T16:00:00Z</dcterms:modified>
  <cp:revision>7</cp:revision>
  <dc:subject/>
  <dc:title>[ECT LETTERHEAD]</dc:title>
</cp:coreProperties>
</file>