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rFonts w:ascii="Arial" w:hAnsi="Arial" w:cs="Arial"/>
          <w:sz w:val="28"/>
        </w:rPr>
      </w:pPr>
      <w:r>
        <w:rPr>
          <w:rFonts w:cs="Arial" w:ascii="Arial" w:hAnsi="Arial"/>
          <w:sz w:val="28"/>
        </w:rPr>
        <w:tab/>
        <w:tab/>
        <w:t>MEMORANDUM</w:t>
      </w:r>
    </w:p>
    <w:p>
      <w:pPr>
        <w:pStyle w:val="Normal"/>
        <w:ind w:firstLine="720" w:end="0"/>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To:  Sarah Novosel</w:t>
      </w:r>
    </w:p>
    <w:p>
      <w:pPr>
        <w:pStyle w:val="Normal"/>
        <w:rPr>
          <w:rFonts w:ascii="Arial" w:hAnsi="Arial" w:cs="Arial"/>
          <w:sz w:val="28"/>
        </w:rPr>
      </w:pPr>
      <w:r>
        <w:rPr>
          <w:rFonts w:cs="Arial" w:ascii="Arial" w:hAnsi="Arial"/>
          <w:sz w:val="28"/>
        </w:rPr>
        <w:t>From: Sam Behrends</w:t>
      </w:r>
    </w:p>
    <w:p>
      <w:pPr>
        <w:pStyle w:val="Normal"/>
        <w:rPr>
          <w:rFonts w:ascii="Arial" w:hAnsi="Arial" w:cs="Arial"/>
          <w:sz w:val="28"/>
        </w:rPr>
      </w:pPr>
      <w:r>
        <w:rPr>
          <w:rFonts w:cs="Arial" w:ascii="Arial" w:hAnsi="Arial"/>
          <w:sz w:val="28"/>
        </w:rPr>
        <w:t>Re:  TANC – SMUD Issues</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ab/>
        <w:t xml:space="preserve">This brief memo addresses the questions which we discussed yesterday, as shown below.  </w:t>
      </w:r>
    </w:p>
    <w:p>
      <w:pPr>
        <w:pStyle w:val="Normal"/>
        <w:rPr>
          <w:rFonts w:ascii="Arial" w:hAnsi="Arial" w:cs="Arial"/>
          <w:sz w:val="28"/>
        </w:rPr>
      </w:pPr>
      <w:r>
        <w:rPr>
          <w:rFonts w:cs="Arial" w:ascii="Arial" w:hAnsi="Arial"/>
          <w:sz w:val="28"/>
        </w:rPr>
      </w:r>
    </w:p>
    <w:p>
      <w:pPr>
        <w:pStyle w:val="Normal"/>
        <w:rPr/>
      </w:pPr>
      <w:r>
        <w:rPr>
          <w:rFonts w:cs="Arial" w:ascii="Arial" w:hAnsi="Arial"/>
          <w:sz w:val="28"/>
        </w:rPr>
        <w:tab/>
        <w:tab/>
      </w:r>
      <w:r>
        <w:rPr>
          <w:rFonts w:cs="Arial" w:ascii="Arial" w:hAnsi="Arial"/>
          <w:b/>
          <w:sz w:val="28"/>
        </w:rPr>
        <w:t>Risks and Timing of a Hearing</w:t>
      </w:r>
    </w:p>
    <w:p>
      <w:pPr>
        <w:pStyle w:val="Normal"/>
        <w:rPr>
          <w:rFonts w:ascii="Arial" w:hAnsi="Arial" w:cs="Arial"/>
          <w:b/>
          <w:sz w:val="28"/>
        </w:rPr>
      </w:pPr>
      <w:r>
        <w:rPr>
          <w:rFonts w:cs="Arial" w:ascii="Arial" w:hAnsi="Arial"/>
          <w:b/>
          <w:sz w:val="28"/>
        </w:rPr>
      </w:r>
    </w:p>
    <w:p>
      <w:pPr>
        <w:pStyle w:val="Normal"/>
        <w:rPr/>
      </w:pPr>
      <w:r>
        <w:rPr>
          <w:rFonts w:cs="Arial" w:ascii="Arial" w:hAnsi="Arial"/>
          <w:b/>
          <w:sz w:val="28"/>
        </w:rPr>
        <w:tab/>
      </w:r>
      <w:r>
        <w:rPr>
          <w:rFonts w:cs="Arial" w:ascii="Arial" w:hAnsi="Arial"/>
          <w:sz w:val="28"/>
        </w:rPr>
        <w:t>As we discussed, I think the chances of a hearing are about 30-35%, if we do not settle with TANC and SMUD.  Maybe lower if we really believe Eden.  The timing of the hearing of course depends on when the Commission issues its order setting a hearing, and (most importantly) the state of the Commission’s litigation calendar.  All estimates are thus barely in the ballpark, but below is a reasonable guess, if the matter goes through full litigation:</w:t>
      </w:r>
    </w:p>
    <w:p>
      <w:pPr>
        <w:pStyle w:val="Normal"/>
        <w:rPr>
          <w:rFonts w:ascii="Arial" w:hAnsi="Arial" w:cs="Arial"/>
          <w:sz w:val="28"/>
        </w:rPr>
      </w:pPr>
      <w:r>
        <w:rPr>
          <w:rFonts w:cs="Arial" w:ascii="Arial" w:hAnsi="Arial"/>
          <w:sz w:val="28"/>
        </w:rPr>
      </w:r>
    </w:p>
    <w:p>
      <w:pPr>
        <w:pStyle w:val="Normal"/>
        <w:numPr>
          <w:ilvl w:val="0"/>
          <w:numId w:val="1"/>
        </w:numPr>
        <w:rPr>
          <w:rFonts w:ascii="Arial" w:hAnsi="Arial" w:cs="Arial"/>
          <w:sz w:val="28"/>
        </w:rPr>
      </w:pPr>
      <w:r>
        <w:rPr>
          <w:rFonts w:cs="Arial" w:ascii="Arial" w:hAnsi="Arial"/>
          <w:sz w:val="28"/>
        </w:rPr>
        <w:t>Mid-October:  Second round of pleading ends (responding to TANC Sept 25 filing)</w:t>
      </w:r>
    </w:p>
    <w:p>
      <w:pPr>
        <w:pStyle w:val="Normal"/>
        <w:numPr>
          <w:ilvl w:val="0"/>
          <w:numId w:val="1"/>
        </w:numPr>
        <w:rPr>
          <w:rFonts w:ascii="Arial" w:hAnsi="Arial" w:cs="Arial"/>
          <w:sz w:val="28"/>
        </w:rPr>
      </w:pPr>
      <w:r>
        <w:rPr>
          <w:rFonts w:cs="Arial" w:ascii="Arial" w:hAnsi="Arial"/>
          <w:sz w:val="28"/>
        </w:rPr>
        <w:t>Late November:  Commission order setting a hearing</w:t>
      </w:r>
    </w:p>
    <w:p>
      <w:pPr>
        <w:pStyle w:val="Normal"/>
        <w:numPr>
          <w:ilvl w:val="0"/>
          <w:numId w:val="1"/>
        </w:numPr>
        <w:rPr>
          <w:rFonts w:ascii="Arial" w:hAnsi="Arial" w:cs="Arial"/>
          <w:sz w:val="28"/>
        </w:rPr>
      </w:pPr>
      <w:r>
        <w:rPr>
          <w:rFonts w:cs="Arial" w:ascii="Arial" w:hAnsi="Arial"/>
          <w:sz w:val="28"/>
        </w:rPr>
        <w:t>Mid-December:  Prehearing and settlement conferences</w:t>
      </w:r>
    </w:p>
    <w:p>
      <w:pPr>
        <w:pStyle w:val="Normal"/>
        <w:ind w:start="1080" w:end="0"/>
        <w:rPr/>
      </w:pPr>
      <w:r>
        <w:rPr>
          <w:rFonts w:eastAsia="Wingdings" w:cs="Wingdings" w:ascii="Wingdings" w:hAnsi="Wingdings"/>
          <w:sz w:val="28"/>
        </w:rPr>
        <w:sym w:font="Wingdings" w:char="f09f"/>
        <w:sym w:font="Wingdings" w:char="f09f"/>
      </w:r>
      <w:r>
        <w:rPr>
          <w:rFonts w:eastAsia="Arial" w:cs="Arial" w:ascii="Arial" w:hAnsi="Arial"/>
          <w:sz w:val="28"/>
        </w:rPr>
        <w:t xml:space="preserve"> </w:t>
      </w:r>
      <w:r>
        <w:rPr>
          <w:rFonts w:cs="Arial" w:ascii="Arial" w:hAnsi="Arial"/>
          <w:sz w:val="28"/>
        </w:rPr>
        <w:t>Settlement discussions continue throughout</w:t>
      </w:r>
    </w:p>
    <w:p>
      <w:pPr>
        <w:pStyle w:val="Normal"/>
        <w:rPr/>
      </w:pPr>
      <w:r>
        <w:rPr>
          <w:rFonts w:eastAsia="Arial" w:cs="Arial" w:ascii="Arial" w:hAnsi="Arial"/>
          <w:sz w:val="28"/>
        </w:rPr>
        <w:t xml:space="preserve">         </w:t>
      </w:r>
      <w:r>
        <w:rPr>
          <w:rFonts w:eastAsia="Wingdings" w:cs="Wingdings" w:ascii="Wingdings" w:hAnsi="Wingdings"/>
          <w:sz w:val="28"/>
        </w:rPr>
        <w:sym w:font="Wingdings" w:char="f09f"/>
      </w:r>
      <w:r>
        <w:rPr>
          <w:rFonts w:eastAsia="Arial" w:cs="Arial" w:ascii="Arial" w:hAnsi="Arial"/>
          <w:sz w:val="28"/>
        </w:rPr>
        <w:t xml:space="preserve">   </w:t>
      </w:r>
      <w:r>
        <w:rPr>
          <w:rFonts w:cs="Arial" w:ascii="Arial" w:hAnsi="Arial"/>
          <w:sz w:val="28"/>
        </w:rPr>
        <w:t>March -  June, 2001: testimony due</w:t>
      </w:r>
    </w:p>
    <w:p>
      <w:pPr>
        <w:pStyle w:val="Normal"/>
        <w:numPr>
          <w:ilvl w:val="0"/>
          <w:numId w:val="1"/>
        </w:numPr>
        <w:rPr>
          <w:rFonts w:ascii="Arial" w:hAnsi="Arial" w:cs="Arial"/>
          <w:sz w:val="28"/>
        </w:rPr>
      </w:pPr>
      <w:r>
        <w:rPr>
          <w:rFonts w:cs="Arial" w:ascii="Arial" w:hAnsi="Arial"/>
          <w:sz w:val="28"/>
        </w:rPr>
        <w:t>August – September, 2001: hearing (expedited  schedule)</w:t>
      </w:r>
    </w:p>
    <w:p>
      <w:pPr>
        <w:pStyle w:val="Normal"/>
        <w:numPr>
          <w:ilvl w:val="0"/>
          <w:numId w:val="1"/>
        </w:numPr>
        <w:rPr>
          <w:rFonts w:ascii="Arial" w:hAnsi="Arial" w:cs="Arial"/>
          <w:sz w:val="28"/>
        </w:rPr>
      </w:pPr>
      <w:r>
        <w:rPr>
          <w:rFonts w:cs="Arial" w:ascii="Arial" w:hAnsi="Arial"/>
          <w:sz w:val="28"/>
        </w:rPr>
        <w:t>November, 2001: last briefs due to ALJ.</w:t>
      </w:r>
    </w:p>
    <w:p>
      <w:pPr>
        <w:pStyle w:val="Normal"/>
        <w:numPr>
          <w:ilvl w:val="0"/>
          <w:numId w:val="1"/>
        </w:numPr>
        <w:rPr>
          <w:rFonts w:ascii="Arial" w:hAnsi="Arial" w:cs="Arial"/>
          <w:sz w:val="28"/>
        </w:rPr>
      </w:pPr>
      <w:r>
        <w:rPr>
          <w:rFonts w:cs="Arial" w:ascii="Arial" w:hAnsi="Arial"/>
          <w:sz w:val="28"/>
        </w:rPr>
        <w:t>February, 2002 :  ALJ’s decision</w:t>
      </w:r>
    </w:p>
    <w:p>
      <w:pPr>
        <w:pStyle w:val="Normal"/>
        <w:numPr>
          <w:ilvl w:val="0"/>
          <w:numId w:val="1"/>
        </w:numPr>
        <w:rPr>
          <w:rFonts w:ascii="Arial" w:hAnsi="Arial" w:cs="Arial"/>
          <w:sz w:val="28"/>
        </w:rPr>
      </w:pPr>
      <w:r>
        <w:rPr>
          <w:rFonts w:cs="Arial" w:ascii="Arial" w:hAnsi="Arial"/>
          <w:sz w:val="28"/>
        </w:rPr>
        <w:t>June, 2002:  FERC decision</w:t>
      </w:r>
    </w:p>
    <w:p>
      <w:pPr>
        <w:pStyle w:val="Normal"/>
        <w:rPr>
          <w:rFonts w:ascii="Arial" w:hAnsi="Arial" w:cs="Arial"/>
          <w:sz w:val="28"/>
        </w:rPr>
      </w:pPr>
      <w:r>
        <w:rPr>
          <w:rFonts w:cs="Arial" w:ascii="Arial" w:hAnsi="Arial"/>
          <w:sz w:val="28"/>
        </w:rPr>
      </w:r>
    </w:p>
    <w:p>
      <w:pPr>
        <w:pStyle w:val="Normal"/>
        <w:ind w:firstLine="720" w:end="0"/>
        <w:rPr>
          <w:rFonts w:ascii="Arial" w:hAnsi="Arial" w:cs="Arial"/>
          <w:sz w:val="28"/>
        </w:rPr>
      </w:pPr>
      <w:r>
        <w:rPr>
          <w:rFonts w:cs="Arial" w:ascii="Arial" w:hAnsi="Arial"/>
          <w:sz w:val="28"/>
        </w:rPr>
        <w:t xml:space="preserve">This would be a somewhat expedited schedule. (It’s faster than AEP, for example).    Of course, if we get set for a hearing, you know what the odds are of our actually being patient enough to go all the way through this.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ab/>
        <w:t xml:space="preserve">We may settle the case at any time throughout the hearing process.  However, once it gets set for a hearing, the Commission’s trial staff suddenly becomes a party.  (The trial staff stays on the sidelines, and takes no part in the case even informally, unless it’s set for hearing.)  The trial staff can be hawks, although they sold out in AEP in exchange for an RTO.  Their presence will complicate any settlement significantly.  It won’t add time to the above schedule, but it will take longer to settle and get out of that schedule.  The trial staff usually becomes a factor about a month after the case is set for hearing. </w:t>
      </w:r>
    </w:p>
    <w:p>
      <w:pPr>
        <w:pStyle w:val="Normal"/>
        <w:rPr>
          <w:rFonts w:ascii="Arial" w:hAnsi="Arial" w:cs="Arial"/>
          <w:sz w:val="28"/>
        </w:rPr>
      </w:pPr>
      <w:r>
        <w:rPr>
          <w:rFonts w:cs="Arial" w:ascii="Arial" w:hAnsi="Arial"/>
          <w:sz w:val="28"/>
        </w:rPr>
        <w:tab/>
        <w:t xml:space="preserve">Plus, after a hearing is set, the procedures for settling become a little more complex.  To get a full settlement, most (though not all) parties have to agree; the settlement has to be submitted to the ALJ, who then has to certify it to FERC; and FERC has to accept it. That could add about a month or more, when compared to settling by having TANC and SMUD withdraw now. </w:t>
      </w:r>
    </w:p>
    <w:p>
      <w:pPr>
        <w:pStyle w:val="Normal"/>
        <w:rPr>
          <w:rFonts w:ascii="Arial" w:hAnsi="Arial" w:cs="Arial"/>
          <w:sz w:val="28"/>
        </w:rPr>
      </w:pPr>
      <w:r>
        <w:rPr>
          <w:rFonts w:cs="Arial" w:ascii="Arial" w:hAnsi="Arial"/>
          <w:sz w:val="28"/>
        </w:rPr>
      </w:r>
    </w:p>
    <w:p>
      <w:pPr>
        <w:pStyle w:val="Normal"/>
        <w:rPr/>
      </w:pPr>
      <w:r>
        <w:rPr>
          <w:rFonts w:cs="Arial" w:ascii="Arial" w:hAnsi="Arial"/>
          <w:sz w:val="28"/>
        </w:rPr>
        <w:tab/>
      </w:r>
      <w:r>
        <w:rPr>
          <w:rFonts w:cs="Arial" w:ascii="Arial" w:hAnsi="Arial"/>
          <w:b/>
          <w:sz w:val="28"/>
        </w:rPr>
        <w:t>If the case is set for hearing, does the cost of settling go up?</w:t>
      </w:r>
    </w:p>
    <w:p>
      <w:pPr>
        <w:pStyle w:val="Normal"/>
        <w:rPr>
          <w:rFonts w:ascii="Arial" w:hAnsi="Arial" w:cs="Arial"/>
          <w:b/>
          <w:sz w:val="28"/>
        </w:rPr>
      </w:pPr>
      <w:r>
        <w:rPr>
          <w:rFonts w:cs="Arial" w:ascii="Arial" w:hAnsi="Arial"/>
          <w:b/>
          <w:sz w:val="28"/>
        </w:rPr>
      </w:r>
    </w:p>
    <w:p>
      <w:pPr>
        <w:pStyle w:val="Normal"/>
        <w:numPr>
          <w:ilvl w:val="0"/>
          <w:numId w:val="1"/>
        </w:numPr>
        <w:rPr>
          <w:rFonts w:ascii="Arial" w:hAnsi="Arial" w:cs="Arial"/>
          <w:sz w:val="28"/>
        </w:rPr>
      </w:pPr>
      <w:r>
        <w:rPr>
          <w:rFonts w:cs="Arial" w:ascii="Arial" w:hAnsi="Arial"/>
          <w:sz w:val="28"/>
        </w:rPr>
        <w:t xml:space="preserve">Yes, perhaps significantly.  Aside from having to settle with the trial staff as well as TANC/SMUD, the time pressure on us will be more intense, and the cost of bailing out California may become higher as next summer approaches.  Two other factors, not currently measurable, will affect the cost of settling after a hearing order: (1)  why did FERC set it for hearing? Does the settlement take care of FERC’s concerns? and (2) will Sierra’s financial condition </w:t>
      </w:r>
    </w:p>
    <w:p>
      <w:pPr>
        <w:pStyle w:val="Normal"/>
        <w:ind w:start="1080" w:end="0"/>
        <w:rPr>
          <w:rFonts w:ascii="Arial" w:hAnsi="Arial" w:cs="Arial"/>
          <w:sz w:val="28"/>
        </w:rPr>
      </w:pPr>
      <w:r>
        <w:rPr>
          <w:rFonts w:cs="Arial" w:ascii="Arial" w:hAnsi="Arial"/>
          <w:sz w:val="28"/>
        </w:rPr>
        <w:t>continue to deteriorate during the settlement process? How will that affect their willingness to settle?  If Sierra suddenly becomes anxious to close, then their willingness to pay might go up, and TANC will know that.</w:t>
      </w:r>
    </w:p>
    <w:p>
      <w:pPr>
        <w:pStyle w:val="Normal"/>
        <w:ind w:start="720" w:end="0"/>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ind w:start="720" w:end="0"/>
        <w:rPr>
          <w:rFonts w:ascii="Arial" w:hAnsi="Arial" w:cs="Arial"/>
          <w:b/>
          <w:sz w:val="28"/>
        </w:rPr>
      </w:pPr>
      <w:r>
        <w:rPr>
          <w:rFonts w:cs="Arial" w:ascii="Arial" w:hAnsi="Arial"/>
          <w:b/>
          <w:sz w:val="28"/>
        </w:rPr>
        <w:t>Will the mitigation we proposed to FERC give TANC and SMUD what they want?</w:t>
      </w:r>
    </w:p>
    <w:p>
      <w:pPr>
        <w:pStyle w:val="Normal"/>
        <w:rPr>
          <w:rFonts w:ascii="Arial" w:hAnsi="Arial" w:cs="Arial"/>
          <w:b/>
          <w:sz w:val="28"/>
        </w:rPr>
      </w:pPr>
      <w:r>
        <w:rPr>
          <w:rFonts w:cs="Arial" w:ascii="Arial" w:hAnsi="Arial"/>
          <w:b/>
          <w:sz w:val="28"/>
        </w:rPr>
      </w:r>
    </w:p>
    <w:p>
      <w:pPr>
        <w:pStyle w:val="Normal"/>
        <w:numPr>
          <w:ilvl w:val="0"/>
          <w:numId w:val="1"/>
        </w:numPr>
        <w:rPr>
          <w:rFonts w:ascii="Arial" w:hAnsi="Arial" w:cs="Arial"/>
          <w:sz w:val="28"/>
        </w:rPr>
      </w:pPr>
      <w:r>
        <w:rPr>
          <w:rFonts w:cs="Arial" w:ascii="Arial" w:hAnsi="Arial"/>
          <w:sz w:val="28"/>
        </w:rPr>
        <w:t xml:space="preserve">It will give them what they need, but not what they want.   When we limit our firm reservations on Alturas to hourly, that lets TANC and SMUD compete to secure longer reservations which could fill their needs.  However, it also lets everybody else compete with TANC and SMUD for the same space.  I’m sure TANC and SMUD would prefer to have exclusive rights to reserve,  which we could give them in settlement but would perhaps provoke responsive (and delaying) complaints from others.  </w:t>
      </w:r>
    </w:p>
    <w:p>
      <w:pPr>
        <w:pStyle w:val="Normal"/>
        <w:ind w:start="720" w:end="0"/>
        <w:rPr>
          <w:rFonts w:ascii="Arial" w:hAnsi="Arial" w:cs="Arial"/>
          <w:sz w:val="28"/>
        </w:rPr>
      </w:pPr>
      <w:r>
        <w:rPr>
          <w:rFonts w:cs="Arial" w:ascii="Arial" w:hAnsi="Arial"/>
          <w:sz w:val="28"/>
        </w:rPr>
      </w:r>
    </w:p>
    <w:p>
      <w:pPr>
        <w:pStyle w:val="Normal"/>
        <w:numPr>
          <w:ilvl w:val="0"/>
          <w:numId w:val="1"/>
        </w:numPr>
        <w:rPr>
          <w:rFonts w:ascii="Arial" w:hAnsi="Arial" w:cs="Arial"/>
          <w:sz w:val="28"/>
        </w:rPr>
      </w:pPr>
      <w:r>
        <w:rPr>
          <w:rFonts w:cs="Arial" w:ascii="Arial" w:hAnsi="Arial"/>
          <w:sz w:val="28"/>
        </w:rPr>
        <w:t>More importantly, as an alternative, TANC and Smud would rather have money. It’s risk free. They don’t have to take the risk of reserving on Alturas  and hoping that the market will justify the reservations.</w:t>
      </w:r>
    </w:p>
    <w:p>
      <w:pPr>
        <w:pStyle w:val="Normal"/>
        <w:rPr>
          <w:rFonts w:ascii="Arial" w:hAnsi="Arial" w:cs="Arial"/>
          <w:sz w:val="28"/>
        </w:rPr>
      </w:pPr>
      <w:r>
        <w:rPr>
          <w:rFonts w:cs="Arial" w:ascii="Arial" w:hAnsi="Arial"/>
          <w:sz w:val="28"/>
        </w:rPr>
      </w:r>
    </w:p>
    <w:p>
      <w:pPr>
        <w:pStyle w:val="Normal"/>
        <w:numPr>
          <w:ilvl w:val="0"/>
          <w:numId w:val="1"/>
        </w:numPr>
        <w:rPr>
          <w:rFonts w:ascii="Arial" w:hAnsi="Arial" w:cs="Arial"/>
          <w:sz w:val="28"/>
        </w:rPr>
      </w:pPr>
      <w:r>
        <w:rPr>
          <w:rFonts w:cs="Arial" w:ascii="Arial" w:hAnsi="Arial"/>
          <w:sz w:val="28"/>
        </w:rPr>
        <w:t>However, if I were them, I wouldn’t accept a 2 year bridge unless the money was worth more than just two years worth of being bumped off Alturas. Reason: there’s no correlation between two years and the amount of time it will take BPA to expand, and FERC or a judge would easily understand that.</w:t>
      </w:r>
    </w:p>
    <w:p>
      <w:pPr>
        <w:pStyle w:val="Normal"/>
        <w:rPr>
          <w:rFonts w:ascii="Arial" w:hAnsi="Arial" w:cs="Arial"/>
          <w:sz w:val="28"/>
        </w:rPr>
      </w:pPr>
      <w:r>
        <w:rPr>
          <w:rFonts w:cs="Arial" w:ascii="Arial" w:hAnsi="Arial"/>
          <w:sz w:val="28"/>
        </w:rPr>
      </w:r>
    </w:p>
    <w:p>
      <w:pPr>
        <w:pStyle w:val="Normal"/>
        <w:numPr>
          <w:ilvl w:val="0"/>
          <w:numId w:val="1"/>
        </w:numPr>
        <w:rPr>
          <w:rFonts w:ascii="Arial" w:hAnsi="Arial" w:cs="Arial"/>
          <w:sz w:val="28"/>
        </w:rPr>
      </w:pPr>
      <w:r>
        <w:rPr>
          <w:rFonts w:cs="Arial" w:ascii="Arial" w:hAnsi="Arial"/>
          <w:sz w:val="28"/>
        </w:rPr>
        <w:t xml:space="preserve">Nonetheless, some level of money now would be tempting. Not only does it avoid the risk of fighting and losing, and the market risk of relying on a transmission based solution, but it’s irrevocable.  If you believe that California is in such trouble that it will lead to a sea change in regulation, any settlement which relies on transmission rights and principles may be short-lived. I.e.,  if TANC/SMUD settles for transmission rights instead of money, those rights could be unwound next year, if FERC rethinks everything in light of a recurring crisis.   However, if they take money now and give up transmission rights, they can put the money in the bank, and then hope that the law changes so radically that maybe they can reclaim those transmission rights later anyway.  This is a complicated way of saying that money now is advantageous, whereas relying on legal rights and promises is not. </w:t>
      </w:r>
    </w:p>
    <w:p>
      <w:pPr>
        <w:pStyle w:val="Normal"/>
        <w:rPr>
          <w:rFonts w:ascii="Arial" w:hAnsi="Arial" w:cs="Arial"/>
          <w:sz w:val="28"/>
        </w:rPr>
      </w:pPr>
      <w:r>
        <w:rPr>
          <w:rFonts w:cs="Arial" w:ascii="Arial" w:hAnsi="Arial"/>
          <w:sz w:val="28"/>
        </w:rPr>
      </w:r>
    </w:p>
    <w:p>
      <w:pPr>
        <w:pStyle w:val="BodyText"/>
        <w:rPr/>
      </w:pPr>
      <w:r>
        <w:rPr/>
        <w:t>If they fight to the end, through a hearing, will TANC and SMUD get what they want?</w:t>
      </w:r>
    </w:p>
    <w:p>
      <w:pPr>
        <w:pStyle w:val="Normal"/>
        <w:rPr>
          <w:rFonts w:ascii="Arial" w:hAnsi="Arial" w:cs="Arial"/>
          <w:b/>
          <w:sz w:val="28"/>
        </w:rPr>
      </w:pPr>
      <w:r>
        <w:rPr>
          <w:rFonts w:cs="Arial" w:ascii="Arial" w:hAnsi="Arial"/>
          <w:b/>
          <w:sz w:val="28"/>
        </w:rPr>
      </w:r>
    </w:p>
    <w:p>
      <w:pPr>
        <w:pStyle w:val="Normal"/>
        <w:numPr>
          <w:ilvl w:val="0"/>
          <w:numId w:val="1"/>
        </w:numPr>
        <w:rPr>
          <w:rFonts w:ascii="Arial" w:hAnsi="Arial" w:cs="Arial"/>
          <w:sz w:val="28"/>
        </w:rPr>
      </w:pPr>
      <w:r>
        <w:rPr>
          <w:rFonts w:cs="Arial" w:ascii="Arial" w:hAnsi="Arial"/>
          <w:sz w:val="28"/>
        </w:rPr>
        <w:t xml:space="preserve">Not under </w:t>
      </w:r>
      <w:r>
        <w:rPr>
          <w:rFonts w:cs="Arial" w:ascii="Arial" w:hAnsi="Arial"/>
          <w:i/>
          <w:sz w:val="28"/>
        </w:rPr>
        <w:t>current</w:t>
      </w:r>
      <w:r>
        <w:rPr>
          <w:rFonts w:cs="Arial" w:ascii="Arial" w:hAnsi="Arial"/>
          <w:sz w:val="28"/>
        </w:rPr>
        <w:t xml:space="preserve"> law.   Under the current FERC standards, leaving aside politics and assuming that Eden’s assumptions are relatively defensible, we should eventually win the case with something pretty close to our currently proposed mitigation.  TANC knows that, I suspect.</w:t>
      </w:r>
    </w:p>
    <w:p>
      <w:pPr>
        <w:pStyle w:val="Normal"/>
        <w:numPr>
          <w:ilvl w:val="0"/>
          <w:numId w:val="1"/>
        </w:numPr>
        <w:rPr>
          <w:rFonts w:ascii="Arial" w:hAnsi="Arial" w:cs="Arial"/>
          <w:sz w:val="28"/>
        </w:rPr>
      </w:pPr>
      <w:r>
        <w:rPr>
          <w:rFonts w:cs="Arial" w:ascii="Arial" w:hAnsi="Arial"/>
          <w:b/>
          <w:sz w:val="28"/>
        </w:rPr>
        <w:t>However,</w:t>
      </w:r>
      <w:r>
        <w:rPr>
          <w:rFonts w:cs="Arial" w:ascii="Arial" w:hAnsi="Arial"/>
          <w:sz w:val="28"/>
        </w:rPr>
        <w:t xml:space="preserve"> current law is not the issue, over the long haul.  California is the issue.  TANC may believe that, by stringing the case out, politics will force FERC to open up the Alturas line to California in a much bigger way – regardless of what the law says, or any damage to previous precedent.  This could happen if the next summer looks like its going to be another crisis, or if Congress weighs in even more heavily, or for other reasons.  These possibilities will dance in front of TANC’s eyes, just enough so that they’ll never fully believe us when we tell them that fighting all the way will end up getting them zero. </w:t>
      </w:r>
    </w:p>
    <w:p>
      <w:pPr>
        <w:pStyle w:val="Normal"/>
        <w:rPr>
          <w:rFonts w:ascii="Arial" w:hAnsi="Arial" w:cs="Arial"/>
          <w:b/>
          <w:sz w:val="28"/>
        </w:rPr>
      </w:pPr>
      <w:r>
        <w:rPr>
          <w:rFonts w:cs="Arial" w:ascii="Arial" w:hAnsi="Arial"/>
          <w:b/>
          <w:sz w:val="28"/>
        </w:rPr>
      </w:r>
    </w:p>
    <w:p>
      <w:pPr>
        <w:pStyle w:val="Normal"/>
        <w:rPr>
          <w:rFonts w:ascii="Arial" w:hAnsi="Arial" w:cs="Arial"/>
          <w:sz w:val="28"/>
        </w:rPr>
      </w:pPr>
      <w:r>
        <w:rPr>
          <w:rFonts w:cs="Arial" w:ascii="Arial" w:hAnsi="Arial"/>
          <w:sz w:val="28"/>
        </w:rPr>
        <w:tab/>
        <w:tab/>
      </w:r>
      <w:r>
        <w:rPr>
          <w:rFonts w:cs="Arial" w:ascii="Arial" w:hAnsi="Arial"/>
          <w:b/>
          <w:sz w:val="28"/>
        </w:rPr>
        <w:t>Risk and Timing of a Technical Conference</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ab/>
        <w:t>The possibility of the Commission issuing an Order establishing a technical conference is approximately 60-65%.  If a technical conference is convened, it likely would occur in mid to late-November.  We would not expect that we would resolve our differences with TANC and SMUD at this conference.  Rather, we believe the more likely result is that the Commission would gain a better understanding of our position, the underpinnings of that position, and conclude that our mitigation is sufficient.</w:t>
      </w:r>
    </w:p>
    <w:p>
      <w:pPr>
        <w:pStyle w:val="Normal"/>
        <w:rPr>
          <w:rFonts w:ascii="Arial" w:hAnsi="Arial" w:cs="Arial"/>
          <w:sz w:val="28"/>
        </w:rPr>
      </w:pPr>
      <w:r>
        <w:rPr>
          <w:rFonts w:cs="Arial" w:ascii="Arial" w:hAnsi="Arial"/>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080"/>
        </w:tabs>
        <w:ind w:start="10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32"/>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2000-09-22T16:26:00Z</dcterms:created>
  <dc:creator>samuel behrends (sb)</dc:creator>
  <dc:description/>
  <dc:language>en-CA</dc:language>
  <cp:lastModifiedBy>LLGM</cp:lastModifiedBy>
  <cp:lastPrinted>2000-10-05T17:24:00Z</cp:lastPrinted>
  <dcterms:modified xsi:type="dcterms:W3CDTF">2000-10-05T18:54:00Z</dcterms:modified>
  <cp:revision>6</cp:revision>
  <dc:subject/>
  <dc:title/>
</cp:coreProperties>
</file>