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Normal"/>
        <w:jc w:val="center"/>
        <w:rPr>
          <w:sz w:val="20"/>
        </w:rPr>
      </w:pPr>
      <w:r>
        <w:rPr>
          <w:sz w:val="20"/>
        </w:rPr>
      </w:r>
    </w:p>
    <w:p>
      <w:pPr>
        <w:pStyle w:val="Normal"/>
        <w:jc w:val="center"/>
        <w:rPr>
          <w:sz w:val="20"/>
        </w:rPr>
      </w:pPr>
      <w:r>
        <w:rPr>
          <w:sz w:val="20"/>
        </w:rPr>
      </w:r>
    </w:p>
    <w:p>
      <w:pPr>
        <w:pStyle w:val="Normal"/>
        <w:rPr/>
      </w:pPr>
      <w:r>
        <w:rPr/>
      </w:r>
    </w:p>
    <w:p>
      <w:pPr>
        <w:pStyle w:val="Normal"/>
        <w:jc w:val="center"/>
        <w:rPr>
          <w:sz w:val="20"/>
        </w:rPr>
      </w:pPr>
      <w:r>
        <w:rPr>
          <w:sz w:val="20"/>
        </w:rPr>
        <w:t>(202) 986-8018</w:t>
      </w:r>
    </w:p>
    <w:p>
      <w:pPr>
        <w:pStyle w:val="Heading1"/>
        <w:ind w:hanging="0" w:start="0"/>
        <w:rPr/>
      </w:pPr>
      <w:r>
        <w:rPr/>
      </w:r>
    </w:p>
    <w:p>
      <w:pPr>
        <w:pStyle w:val="Heading1"/>
        <w:ind w:hanging="0" w:start="0"/>
        <w:rPr/>
      </w:pPr>
      <w:r>
        <w:rPr/>
      </w:r>
    </w:p>
    <w:p>
      <w:pPr>
        <w:pStyle w:val="Heading1"/>
        <w:ind w:hanging="0" w:start="0"/>
        <w:rPr/>
      </w:pPr>
      <w:r>
        <w:rPr/>
        <w:tab/>
        <w:tab/>
        <w:tab/>
        <w:tab/>
        <w:tab/>
        <w:tab/>
      </w:r>
    </w:p>
    <w:p>
      <w:pPr>
        <w:pStyle w:val="Heading1"/>
        <w:ind w:hanging="0" w:start="0"/>
        <w:rPr/>
      </w:pPr>
      <w:r>
        <w:rPr/>
        <w:t>Privileged and Confidential</w:t>
      </w:r>
    </w:p>
    <w:p>
      <w:pPr>
        <w:pStyle w:val="Heading1"/>
        <w:ind w:hanging="0" w:start="0"/>
        <w:rPr/>
      </w:pPr>
      <w:r>
        <w:rPr/>
        <w:t>Attorney-Client Privilege</w:t>
      </w:r>
    </w:p>
    <w:p>
      <w:pPr>
        <w:pStyle w:val="Normal"/>
        <w:rPr>
          <w:b w:val="false"/>
          <w:i/>
          <w:i/>
        </w:rPr>
      </w:pPr>
      <w:r>
        <w:rPr>
          <w:b w:val="false"/>
          <w:i/>
        </w:rPr>
      </w:r>
    </w:p>
    <w:p>
      <w:pPr>
        <w:pStyle w:val="Heading2"/>
        <w:ind w:hanging="0" w:start="0"/>
        <w:rPr/>
      </w:pPr>
      <w:r>
        <w:rPr/>
        <w:t>Executive Summary</w:t>
      </w:r>
    </w:p>
    <w:p>
      <w:pPr>
        <w:pStyle w:val="Normal"/>
        <w:rPr/>
      </w:pPr>
      <w:r>
        <w:rPr/>
      </w:r>
    </w:p>
    <w:p>
      <w:pPr>
        <w:pStyle w:val="Normal"/>
        <w:rPr/>
      </w:pPr>
      <w:r>
        <w:rPr/>
        <w:tab/>
      </w:r>
      <w:r>
        <w:rPr>
          <w:b w:val="false"/>
        </w:rPr>
        <w:t>The attached memo analyses the positions of Sierra/Portland, and of their adversaries TANC and SMUD, to determine when FERC approval of the merger is likely.  The goal is to assist Enron in negotiating with TANC and SMUD, and in determining how much a quick settlement with them is really worth.  The memo focuses on the strength of our FERC case, and on whether TANC/SMUD can delay us even further if we fail to settle.</w:t>
      </w:r>
    </w:p>
    <w:p>
      <w:pPr>
        <w:pStyle w:val="Normal"/>
        <w:rPr>
          <w:b w:val="false"/>
        </w:rPr>
      </w:pPr>
      <w:r>
        <w:rPr>
          <w:b w:val="false"/>
        </w:rPr>
      </w:r>
    </w:p>
    <w:p>
      <w:pPr>
        <w:pStyle w:val="Normal"/>
        <w:rPr>
          <w:b w:val="false"/>
        </w:rPr>
      </w:pPr>
      <w:r>
        <w:rPr>
          <w:b w:val="false"/>
        </w:rPr>
        <w:tab/>
        <w:t>The essential questions addressed by the memo, and our conclusions, are summarized below.</w:t>
      </w:r>
    </w:p>
    <w:p>
      <w:pPr>
        <w:pStyle w:val="Normal"/>
        <w:rPr>
          <w:b w:val="false"/>
        </w:rPr>
      </w:pPr>
      <w:r>
        <w:rPr>
          <w:b w:val="false"/>
        </w:rPr>
      </w:r>
    </w:p>
    <w:p>
      <w:pPr>
        <w:pStyle w:val="BodyTextIndent"/>
        <w:numPr>
          <w:ilvl w:val="0"/>
          <w:numId w:val="2"/>
        </w:numPr>
        <w:rPr/>
      </w:pPr>
      <w:r>
        <w:rPr/>
        <w:t>If we settle with TANC and SMUD right away, how certain are we that the merger will close in 2000?</w:t>
      </w:r>
    </w:p>
    <w:p>
      <w:pPr>
        <w:pStyle w:val="Normal"/>
        <w:ind w:start="720" w:end="0"/>
        <w:rPr>
          <w:b w:val="false"/>
        </w:rPr>
      </w:pPr>
      <w:r>
        <w:rPr>
          <w:b w:val="false"/>
        </w:rPr>
      </w:r>
    </w:p>
    <w:p>
      <w:pPr>
        <w:pStyle w:val="Normal"/>
        <w:ind w:firstLine="360" w:start="1080" w:end="0"/>
        <w:rPr>
          <w:b w:val="false"/>
        </w:rPr>
      </w:pPr>
      <w:r>
        <w:rPr>
          <w:b w:val="false"/>
        </w:rPr>
        <w:t>Not very certain, but it is possible.  To enable a year 2000 closing, the following things have to happen.  First, TANC and SMUD, as well as the Nevada PSC, would have to withdraw their protests within the next two weeks.  Second, having reviewed those withdrawals and the relevant parts of the settlement, FERC staff (and the Commissioners) will have to be satisfied that our mitigation is sufficient, and then produce an order approving the merger no later than the first week of November, five weeks after the settlement is received.  That is about the minimum time needed.  (The average approval time is about 45-50 days after the last pleading is received.)  Given FERC’s stated desire for expedition, that type of speed is realistically possible, but faster than normal.  Finally, assuming a FERC order by the first week in November, the SEC would have to issue its order about seven weeks after that. Given the complexity of the SEC issues, and the holiday season, that would be significantly faster than normal.</w:t>
      </w:r>
      <w:r>
        <w:br w:type="page"/>
      </w:r>
    </w:p>
    <w:p>
      <w:pPr>
        <w:pStyle w:val="Normal"/>
        <w:ind w:firstLine="360" w:start="1080" w:end="0"/>
        <w:rPr/>
      </w:pPr>
      <w:r>
        <w:rPr>
          <w:b w:val="false"/>
        </w:rPr>
        <w:t>Thus, with a TANC/SMUD settlement, a closing in 2000 is possible, but not certain.</w:t>
      </w:r>
      <w:r>
        <w:rPr>
          <w:rStyle w:val="FootnoteCharacters"/>
          <w:rStyle w:val="FootnoteReference"/>
          <w:b/>
        </w:rPr>
        <w:footnoteReference w:id="2"/>
      </w:r>
      <w:r>
        <w:rPr>
          <w:rStyle w:val="EndnoteCharacters"/>
          <w:b/>
        </w:rPr>
        <w:t xml:space="preserve"> </w:t>
      </w:r>
      <w:r>
        <w:rPr>
          <w:b w:val="false"/>
        </w:rPr>
        <w:t xml:space="preserve">  While any quantification is so marred by guesswork as to be of little help, the chance of all of these things happening in time is probably around 25%, even if we settle next week.</w:t>
      </w:r>
      <w:r>
        <w:rPr>
          <w:rStyle w:val="FootnoteCharacters"/>
          <w:rStyle w:val="FootnoteReference"/>
          <w:b/>
        </w:rPr>
        <w:footnoteReference w:id="3"/>
      </w:r>
      <w:r>
        <w:rPr>
          <w:b w:val="false"/>
        </w:rPr>
        <w:t xml:space="preserve">  This uncertainty should be considered when evaluating how much a quick settlement is worth.</w:t>
      </w:r>
    </w:p>
    <w:p>
      <w:pPr>
        <w:pStyle w:val="Normal"/>
        <w:ind w:firstLine="360" w:start="1080" w:end="0"/>
        <w:rPr>
          <w:b w:val="false"/>
        </w:rPr>
      </w:pPr>
      <w:r>
        <w:rPr>
          <w:b w:val="false"/>
        </w:rPr>
      </w:r>
    </w:p>
    <w:p>
      <w:pPr>
        <w:pStyle w:val="BodyTextIndent2"/>
        <w:numPr>
          <w:ilvl w:val="0"/>
          <w:numId w:val="2"/>
        </w:numPr>
        <w:rPr/>
      </w:pPr>
      <w:r>
        <w:rPr/>
        <w:t>If we do not settle with TANC and SMUD, how certain are we that we will obtain FERC approval without a hearing, so that the merger can close by May 1?</w:t>
      </w:r>
    </w:p>
    <w:p>
      <w:pPr>
        <w:pStyle w:val="BodyTextIndent2"/>
        <w:rPr/>
      </w:pPr>
      <w:r>
        <w:rPr/>
      </w:r>
    </w:p>
    <w:p>
      <w:pPr>
        <w:pStyle w:val="BodyTextIndent2"/>
        <w:rPr>
          <w:b w:val="false"/>
        </w:rPr>
      </w:pPr>
      <w:r>
        <w:rPr>
          <w:b w:val="false"/>
        </w:rPr>
        <w:t>If we do not settle with TANC and SMUD, the chance that we can still obtain FERC approval by February and close before May is realistic, probably about 65 – 70 % (again, all numbers are guesses).  This depends on whether the mitigation we have put on the table is adequate, or can be accepted by FERC with minor changes.  If the mitigation is inadequate, and cannot be cured by very simple conditions, FERC will order a hearing.</w:t>
      </w:r>
    </w:p>
    <w:p>
      <w:pPr>
        <w:pStyle w:val="BodyTextIndent2"/>
        <w:rPr>
          <w:b w:val="false"/>
        </w:rPr>
      </w:pPr>
      <w:r>
        <w:rPr>
          <w:b w:val="false"/>
        </w:rPr>
      </w:r>
    </w:p>
    <w:p>
      <w:pPr>
        <w:pStyle w:val="BodyTextIndent2"/>
        <w:rPr/>
      </w:pPr>
      <w:r>
        <w:rPr>
          <w:b w:val="false"/>
        </w:rPr>
        <w:t>FERC is required to order a hearing if there are “genuine issues of material fact” left in dispute.  On the surface, our proposed mitigation is adequate – but only under certain assumptions.  The most serious part of  TANC/SMUD’s complaint, reflected in the FERC order, is that the merger would cause Sierra to use 300 MW of the Alturas line on a firm basis, to import from Portland.  Technically, this would create too much market concentration in Nevada, with 6 screen violations in the Available Economic Capacity market.</w:t>
      </w:r>
      <w:r>
        <w:rPr>
          <w:rStyle w:val="FootnoteCharacters"/>
          <w:rStyle w:val="FootnoteReference"/>
          <w:b/>
        </w:rPr>
        <w:footnoteReference w:id="4"/>
      </w:r>
      <w:r>
        <w:rPr>
          <w:b w:val="false"/>
        </w:rPr>
        <w:t xml:space="preserve">  Of course, TANC/SMUD’s real concern is that our use of the line would block power going to California, not to Nevada.  Given FERC’s sensitivity to California power supply, effective mitigation has to solve the problem in both states.</w:t>
      </w:r>
    </w:p>
    <w:p>
      <w:pPr>
        <w:pStyle w:val="BodyTextIndent2"/>
        <w:rPr>
          <w:b w:val="false"/>
        </w:rPr>
      </w:pPr>
      <w:r>
        <w:rPr>
          <w:b w:val="false"/>
        </w:rPr>
      </w:r>
    </w:p>
    <w:p>
      <w:pPr>
        <w:pStyle w:val="BodyTextIndent2"/>
        <w:rPr>
          <w:b w:val="false"/>
        </w:rPr>
      </w:pPr>
      <w:r>
        <w:rPr>
          <w:b w:val="false"/>
        </w:rPr>
        <w:t xml:space="preserve">At least on the surface, our August mitigation ought to do that.  Under the Hourly PGE–Alturas Commitment, we commit not to reserve firm transmission on that path except on an hourly basis.  This means that anyone, including TANC or SMUD, can bump us and seize that capacity merely by reserving on a longer basis.  Thus, if there is a power supply crisis in California, California parties can guess that in advance (because it happens every summer), reserve transmission on a daily or longer basis, kick us off the line and solve the problem.  The same is true in Nevada.  As shown in our August 25 filing, the Hourly Commitment eliminates all screen violations in the Nevada AEC market (and all but 4 in the EC market).  This should solve both the technical problem in Nevada and the political problem in California. </w:t>
      </w:r>
    </w:p>
    <w:p>
      <w:pPr>
        <w:pStyle w:val="BodyTextIndent2"/>
        <w:ind w:hanging="0" w:start="0" w:end="0"/>
        <w:rPr>
          <w:b w:val="false"/>
        </w:rPr>
      </w:pPr>
      <w:r>
        <w:rPr>
          <w:b w:val="false"/>
        </w:rPr>
        <w:tab/>
      </w:r>
    </w:p>
    <w:p>
      <w:pPr>
        <w:pStyle w:val="BodyTextIndent2"/>
        <w:rPr>
          <w:b w:val="false"/>
        </w:rPr>
      </w:pPr>
      <w:r>
        <w:rPr>
          <w:b w:val="false"/>
        </w:rPr>
        <w:t>In addition, we have committed that we will cap the price on sales by PGE to California during the time when our use of the Alturas line constrains transmission.  The calculation of the cap is moderately complex, as detailed in the attached memo.  The point is to remove any incentive for PGE/Sierra to use the Alturas line to manipulate the California market, by preventing us from gleaning significant profits during times when we cause the constraint.  Once again, this mitigation would seem to solve the market power problem.</w:t>
      </w:r>
    </w:p>
    <w:p>
      <w:pPr>
        <w:pStyle w:val="BodyTextIndent2"/>
        <w:rPr>
          <w:b w:val="false"/>
        </w:rPr>
      </w:pPr>
      <w:r>
        <w:rPr>
          <w:b w:val="false"/>
        </w:rPr>
      </w:r>
    </w:p>
    <w:p>
      <w:pPr>
        <w:pStyle w:val="BodyTextIndent2"/>
        <w:rPr>
          <w:b w:val="false"/>
        </w:rPr>
      </w:pPr>
      <w:r>
        <w:rPr>
          <w:b w:val="false"/>
        </w:rPr>
        <w:t>Are there flaws in our analysis?  If so, are they significant enough to prompt FERC to order a hearing?  Remembering that TANC and SMUD will have ample chance to attack, the following points come to mind:</w:t>
      </w:r>
    </w:p>
    <w:p>
      <w:pPr>
        <w:pStyle w:val="BodyTextIndent2"/>
        <w:ind w:hanging="0" w:start="0" w:end="0"/>
        <w:rPr>
          <w:b w:val="false"/>
        </w:rPr>
      </w:pPr>
      <w:r>
        <w:rPr>
          <w:b w:val="false"/>
        </w:rPr>
      </w:r>
    </w:p>
    <w:p>
      <w:pPr>
        <w:pStyle w:val="BodyTextIndent2"/>
        <w:numPr>
          <w:ilvl w:val="0"/>
          <w:numId w:val="4"/>
        </w:numPr>
        <w:rPr>
          <w:b w:val="false"/>
        </w:rPr>
      </w:pPr>
      <w:r>
        <w:rPr>
          <w:b w:val="false"/>
          <w:u w:val="single"/>
        </w:rPr>
        <w:t>Are the assumptions we use about transmission so clearly correct that there is no room for serious factual dispute?</w:t>
      </w:r>
    </w:p>
    <w:p>
      <w:pPr>
        <w:pStyle w:val="BodyTextIndent2"/>
        <w:ind w:hanging="0" w:start="1500" w:end="0"/>
        <w:rPr>
          <w:b w:val="false"/>
        </w:rPr>
      </w:pPr>
      <w:r>
        <w:rPr>
          <w:b w:val="false"/>
        </w:rPr>
      </w:r>
    </w:p>
    <w:p>
      <w:pPr>
        <w:pStyle w:val="BodyTextIndent2"/>
        <w:ind w:hanging="0" w:start="1860" w:end="0"/>
        <w:rPr>
          <w:b w:val="false"/>
        </w:rPr>
      </w:pPr>
      <w:r>
        <w:rPr>
          <w:b w:val="false"/>
        </w:rPr>
        <w:t>The primary transmission assumptions used to model our</w:t>
      </w:r>
    </w:p>
    <w:p>
      <w:pPr>
        <w:pStyle w:val="BodyTextIndent2"/>
        <w:ind w:hanging="0" w:start="1440" w:end="0"/>
        <w:rPr/>
      </w:pPr>
      <w:r>
        <w:rPr>
          <w:b w:val="false"/>
        </w:rPr>
        <w:t>mitigation are contained in the Eden Affidavit, filed with the August 25 package.  Those assumptions are based on the rated capacity of the relevant lines, which we admit in the filing is simplistic.  If operational considerations reduce the Operational Transfer Capacity, then those assumptions would not apply.</w:t>
      </w:r>
      <w:r>
        <w:rPr>
          <w:rStyle w:val="FootnoteCharacters"/>
          <w:rStyle w:val="FootnoteReference"/>
          <w:b/>
        </w:rPr>
        <w:footnoteReference w:id="5"/>
      </w:r>
      <w:r>
        <w:rPr>
          <w:b w:val="false"/>
        </w:rPr>
        <w:t xml:space="preserve">  Eden analyzed data only from the past </w:t>
      </w:r>
    </w:p>
    <w:p>
      <w:pPr>
        <w:pStyle w:val="BodyTextIndent2"/>
        <w:ind w:hanging="0" w:start="1440" w:end="0"/>
        <w:rPr>
          <w:b w:val="false"/>
        </w:rPr>
      </w:pPr>
      <w:r>
        <w:rPr>
          <w:b w:val="false"/>
        </w:rPr>
        <w:t xml:space="preserve">three years, because data for earlier years was misleading (and damaging).  Thus, at least as long as we have an aggressive and thorough opponent, our mitigation may be vulnerable on this issue.  </w:t>
      </w:r>
    </w:p>
    <w:p>
      <w:pPr>
        <w:pStyle w:val="BodyTextIndent2"/>
        <w:rPr>
          <w:b w:val="false"/>
        </w:rPr>
      </w:pPr>
      <w:r>
        <w:rPr>
          <w:b w:val="false"/>
        </w:rPr>
      </w:r>
    </w:p>
    <w:p>
      <w:pPr>
        <w:pStyle w:val="BodyTextIndent2"/>
        <w:numPr>
          <w:ilvl w:val="0"/>
          <w:numId w:val="4"/>
        </w:numPr>
        <w:rPr>
          <w:b w:val="false"/>
        </w:rPr>
      </w:pPr>
      <w:r>
        <w:rPr>
          <w:b w:val="false"/>
          <w:u w:val="single"/>
        </w:rPr>
        <w:t>Can we somehow manipulate hourly transmission rights, and manipulate the market for short – but repeated – intervals?</w:t>
      </w:r>
    </w:p>
    <w:p>
      <w:pPr>
        <w:pStyle w:val="BodyTextIndent2"/>
        <w:rPr>
          <w:b w:val="false"/>
          <w:u w:val="single"/>
        </w:rPr>
      </w:pPr>
      <w:r>
        <w:rPr>
          <w:b w:val="false"/>
          <w:u w:val="single"/>
        </w:rPr>
      </w:r>
    </w:p>
    <w:p>
      <w:pPr>
        <w:pStyle w:val="BodyTextIndent2"/>
        <w:ind w:hanging="0" w:start="1860" w:end="0"/>
        <w:rPr>
          <w:b w:val="false"/>
        </w:rPr>
      </w:pPr>
      <w:r>
        <w:rPr>
          <w:b w:val="false"/>
        </w:rPr>
        <w:t>Even if Eden’s assumptions are wrong, the PGE/Sierra Hourly</w:t>
      </w:r>
    </w:p>
    <w:p>
      <w:pPr>
        <w:pStyle w:val="BodyTextIndent2"/>
        <w:ind w:hanging="0" w:start="1440" w:end="0"/>
        <w:rPr/>
      </w:pPr>
      <w:r>
        <w:rPr>
          <w:b w:val="false"/>
        </w:rPr>
        <w:t>Commitment is supposed to solve the problem (</w:t>
      </w:r>
      <w:r>
        <w:rPr>
          <w:b w:val="false"/>
          <w:u w:val="single"/>
        </w:rPr>
        <w:t>i.e.</w:t>
      </w:r>
      <w:r>
        <w:rPr>
          <w:b w:val="false"/>
        </w:rPr>
        <w:t>, even when the Alturas line is constrained and COI is not, and we are causing the constraint, we cannot cause the constraint for more than an hour because anyone else could reserve longer transmission and bump us.)</w:t>
      </w:r>
    </w:p>
    <w:p>
      <w:pPr>
        <w:pStyle w:val="BodyTextIndent2"/>
        <w:ind w:hanging="0" w:start="1440" w:end="0"/>
        <w:rPr>
          <w:b w:val="false"/>
        </w:rPr>
      </w:pPr>
      <w:r>
        <w:rPr>
          <w:b w:val="false"/>
        </w:rPr>
      </w:r>
    </w:p>
    <w:p>
      <w:pPr>
        <w:pStyle w:val="BodyTextIndent2"/>
        <w:ind w:start="1500" w:end="0"/>
        <w:rPr>
          <w:b w:val="false"/>
        </w:rPr>
      </w:pPr>
      <w:r>
        <w:rPr>
          <w:b w:val="false"/>
        </w:rPr>
        <w:t>In theory, that should work. However, at least since the AEP case, the Commission has been skeptical of transmission remedies which depend on competitors having perfect information and transmission operators behaving fairly.  To combat this suspicion, we told FERC that the commencement of an RTO would solve that problem, but implied that we could not solve it now because we don’t know when RTO West will become effective. This could give FERC an excuse to condition the merger on greater progress towards an RTO.</w:t>
      </w:r>
    </w:p>
    <w:p>
      <w:pPr>
        <w:pStyle w:val="BodyTextIndent2"/>
        <w:ind w:start="1500" w:end="0"/>
        <w:rPr>
          <w:b w:val="false"/>
        </w:rPr>
      </w:pPr>
      <w:r>
        <w:rPr>
          <w:b w:val="false"/>
        </w:rPr>
      </w:r>
    </w:p>
    <w:p>
      <w:pPr>
        <w:pStyle w:val="BodyTextIndent2"/>
        <w:numPr>
          <w:ilvl w:val="0"/>
          <w:numId w:val="4"/>
        </w:numPr>
        <w:rPr>
          <w:b w:val="false"/>
        </w:rPr>
      </w:pPr>
      <w:r>
        <w:rPr>
          <w:b w:val="false"/>
          <w:u w:val="single"/>
        </w:rPr>
        <w:t xml:space="preserve">Have we set the cap right? </w:t>
      </w:r>
    </w:p>
    <w:p>
      <w:pPr>
        <w:pStyle w:val="BodyTextIndent2"/>
        <w:rPr>
          <w:b w:val="false"/>
          <w:u w:val="single"/>
        </w:rPr>
      </w:pPr>
      <w:r>
        <w:rPr>
          <w:b w:val="false"/>
          <w:u w:val="single"/>
        </w:rPr>
      </w:r>
    </w:p>
    <w:p>
      <w:pPr>
        <w:pStyle w:val="BodyTextIndent2"/>
        <w:ind w:start="1500" w:end="0"/>
        <w:rPr>
          <w:b w:val="false"/>
        </w:rPr>
      </w:pPr>
      <w:r>
        <w:rPr>
          <w:b w:val="false"/>
        </w:rPr>
        <w:t>Even if Eden’s assumptions are vulnerable and FERC believes that we can somehow manipulate hourly reservations, the Price Cap Commitment is supposed to prevent us from doing that, by depriving us of the incentive, as described above.  For this mitigation to be effective, the cap has to be set at the right level, and the cap has to be simple enough for FERC to act on it quickly.  As discussed in the attached memo, while we believe the cap mechanism is correct, it is vulnerable to some attack and may not be simple for FERC to understand.</w:t>
      </w:r>
    </w:p>
    <w:p>
      <w:pPr>
        <w:pStyle w:val="BodyTextIndent2"/>
        <w:rPr>
          <w:b w:val="false"/>
        </w:rPr>
      </w:pPr>
      <w:r>
        <w:rPr>
          <w:b w:val="false"/>
        </w:rPr>
      </w:r>
    </w:p>
    <w:p>
      <w:pPr>
        <w:pStyle w:val="BodyTextIndent2"/>
        <w:numPr>
          <w:ilvl w:val="0"/>
          <w:numId w:val="4"/>
        </w:numPr>
        <w:rPr>
          <w:b w:val="false"/>
          <w:u w:val="single"/>
        </w:rPr>
      </w:pPr>
      <w:r>
        <w:rPr>
          <w:b w:val="false"/>
          <w:u w:val="single"/>
        </w:rPr>
        <w:t>Will any of our other material assumptions change?</w:t>
      </w:r>
    </w:p>
    <w:p>
      <w:pPr>
        <w:pStyle w:val="BodyTextIndent2"/>
        <w:rPr>
          <w:b w:val="false"/>
          <w:u w:val="single"/>
        </w:rPr>
      </w:pPr>
      <w:r>
        <w:rPr>
          <w:b w:val="false"/>
          <w:u w:val="single"/>
        </w:rPr>
      </w:r>
    </w:p>
    <w:p>
      <w:pPr>
        <w:pStyle w:val="BodyTextIndent2"/>
        <w:ind w:start="1500" w:end="0"/>
        <w:rPr>
          <w:b w:val="false"/>
        </w:rPr>
      </w:pPr>
      <w:r>
        <w:rPr>
          <w:b w:val="false"/>
        </w:rPr>
        <w:t>Certain other factors could complicate the Commission’s analysis, if the facts change during the remainder of 2000.  If any of the following occurs, and we have not settled, TANC could raise these issues as further reason for a hearing:</w:t>
      </w:r>
    </w:p>
    <w:p>
      <w:pPr>
        <w:pStyle w:val="BodyTextIndent2"/>
        <w:rPr>
          <w:b w:val="false"/>
        </w:rPr>
      </w:pPr>
      <w:r>
        <w:rPr>
          <w:b w:val="false"/>
        </w:rPr>
      </w:r>
    </w:p>
    <w:p>
      <w:pPr>
        <w:pStyle w:val="BodyTextIndent2"/>
        <w:numPr>
          <w:ilvl w:val="0"/>
          <w:numId w:val="3"/>
        </w:numPr>
        <w:rPr>
          <w:b w:val="false"/>
        </w:rPr>
      </w:pPr>
      <w:r>
        <w:rPr>
          <w:b w:val="false"/>
        </w:rPr>
        <w:t>A delay in the Nevada divestiture schedule, or a change in the</w:t>
      </w:r>
    </w:p>
    <w:p>
      <w:pPr>
        <w:pStyle w:val="BodyTextIndent2"/>
        <w:ind w:hanging="0" w:start="1860" w:end="0"/>
        <w:rPr>
          <w:b w:val="false"/>
        </w:rPr>
      </w:pPr>
      <w:r>
        <w:rPr>
          <w:b w:val="false"/>
        </w:rPr>
        <w:t xml:space="preserve">terms of the buyback contracts which gives Sierra more control.  These issues are controlled somewhat by Sierra, but not by Enron. </w:t>
      </w:r>
    </w:p>
    <w:p>
      <w:pPr>
        <w:pStyle w:val="BodyTextIndent2"/>
        <w:ind w:hanging="0" w:start="1860" w:end="0"/>
        <w:rPr>
          <w:b w:val="false"/>
        </w:rPr>
      </w:pPr>
      <w:r>
        <w:rPr>
          <w:b w:val="false"/>
        </w:rPr>
      </w:r>
    </w:p>
    <w:p>
      <w:pPr>
        <w:pStyle w:val="BodyTextIndent2"/>
        <w:numPr>
          <w:ilvl w:val="0"/>
          <w:numId w:val="3"/>
        </w:numPr>
        <w:rPr>
          <w:b w:val="false"/>
        </w:rPr>
      </w:pPr>
      <w:r>
        <w:rPr>
          <w:b w:val="false"/>
        </w:rPr>
        <w:t>A decision by Judge Silverstein in the Alturas case, which should</w:t>
      </w:r>
    </w:p>
    <w:p>
      <w:pPr>
        <w:pStyle w:val="BodyTextIndent2"/>
        <w:ind w:hanging="0" w:start="1860" w:end="0"/>
        <w:rPr>
          <w:b w:val="false"/>
        </w:rPr>
      </w:pPr>
      <w:r>
        <w:rPr>
          <w:b w:val="false"/>
        </w:rPr>
        <w:t>be issued in December, that gives Sierra more control or otherwise damages our transmission assumptions. This seems unlikely.</w:t>
      </w:r>
    </w:p>
    <w:p>
      <w:pPr>
        <w:pStyle w:val="BodyTextIndent2"/>
        <w:ind w:hanging="0" w:start="1860" w:end="0"/>
        <w:rPr>
          <w:b w:val="false"/>
        </w:rPr>
      </w:pPr>
      <w:r>
        <w:rPr>
          <w:b w:val="false"/>
        </w:rPr>
      </w:r>
    </w:p>
    <w:p>
      <w:pPr>
        <w:pStyle w:val="BodyTextIndent2"/>
        <w:numPr>
          <w:ilvl w:val="0"/>
          <w:numId w:val="3"/>
        </w:numPr>
        <w:rPr>
          <w:b w:val="false"/>
        </w:rPr>
      </w:pPr>
      <w:r>
        <w:rPr>
          <w:b w:val="false"/>
        </w:rPr>
        <w:t>A radical change in the California markets, either due to</w:t>
      </w:r>
    </w:p>
    <w:p>
      <w:pPr>
        <w:pStyle w:val="BodyTextIndent2"/>
        <w:ind w:hanging="0" w:start="1860" w:end="0"/>
        <w:rPr>
          <w:b w:val="false"/>
        </w:rPr>
      </w:pPr>
      <w:r>
        <w:rPr>
          <w:b w:val="false"/>
        </w:rPr>
        <w:t>regulation, or because certain facilities are no longer capable of producing low-cost power.  (This could be influenced by rising gas prices.)</w:t>
      </w:r>
    </w:p>
    <w:p>
      <w:pPr>
        <w:pStyle w:val="BodyTextIndent2"/>
        <w:rPr>
          <w:b w:val="false"/>
        </w:rPr>
      </w:pPr>
      <w:r>
        <w:rPr>
          <w:b w:val="false"/>
        </w:rPr>
      </w:r>
    </w:p>
    <w:p>
      <w:pPr>
        <w:pStyle w:val="BodyTextIndent2"/>
        <w:numPr>
          <w:ilvl w:val="0"/>
          <w:numId w:val="3"/>
        </w:numPr>
        <w:rPr>
          <w:b w:val="false"/>
        </w:rPr>
      </w:pPr>
      <w:r>
        <w:rPr>
          <w:b w:val="false"/>
        </w:rPr>
        <w:t>Significant outages which are transmission related, highlighting</w:t>
      </w:r>
    </w:p>
    <w:p>
      <w:pPr>
        <w:pStyle w:val="BodyTextIndent2"/>
        <w:ind w:hanging="0" w:start="1800" w:end="0"/>
        <w:rPr>
          <w:b w:val="false"/>
        </w:rPr>
      </w:pPr>
      <w:r>
        <w:rPr>
          <w:b w:val="false"/>
        </w:rPr>
        <w:t>the issues with Eden’s affidavit and increasing political pressure on FERC.</w:t>
      </w:r>
    </w:p>
    <w:p>
      <w:pPr>
        <w:pStyle w:val="BodyTextIndent2"/>
        <w:ind w:hanging="0" w:start="0" w:end="0"/>
        <w:rPr>
          <w:b w:val="false"/>
        </w:rPr>
      </w:pPr>
      <w:r>
        <w:rPr>
          <w:b w:val="false"/>
        </w:rPr>
      </w:r>
    </w:p>
    <w:p>
      <w:pPr>
        <w:pStyle w:val="BodyTextIndent2"/>
        <w:ind w:firstLine="720" w:start="0" w:end="0"/>
        <w:rPr>
          <w:b w:val="false"/>
        </w:rPr>
      </w:pPr>
      <w:r>
        <w:rPr>
          <w:b w:val="false"/>
        </w:rPr>
        <w:t xml:space="preserve">It would probably take more than one of these issues, or at least an extremely serious version of one, to tempt FERC to set our case for hearing.  We would estimate a risk of hearing at about 30-35%.  Nonetheless, worse fate has befallen others with similar merger issues. </w:t>
      </w:r>
    </w:p>
    <w:p>
      <w:pPr>
        <w:pStyle w:val="BodyTextIndent2"/>
        <w:ind w:firstLine="720" w:start="0" w:end="0"/>
        <w:rPr>
          <w:b w:val="false"/>
        </w:rPr>
      </w:pPr>
      <w:r>
        <w:rPr>
          <w:b w:val="false"/>
        </w:rPr>
      </w:r>
    </w:p>
    <w:p>
      <w:pPr>
        <w:pStyle w:val="BodyTextIndent2"/>
        <w:ind w:start="0" w:end="0"/>
        <w:rPr>
          <w:b w:val="false"/>
        </w:rPr>
      </w:pPr>
      <w:r>
        <w:rPr>
          <w:b w:val="false"/>
        </w:rPr>
        <w:tab/>
        <w:t>Despite these concerns, we stand by our conclusion that, even if we</w:t>
      </w:r>
    </w:p>
    <w:p>
      <w:pPr>
        <w:pStyle w:val="BodyTextIndent2"/>
        <w:ind w:hanging="0" w:start="0" w:end="0"/>
        <w:rPr>
          <w:b w:val="false"/>
        </w:rPr>
      </w:pPr>
      <w:r>
        <w:rPr>
          <w:b w:val="false"/>
        </w:rPr>
        <w:t>do not settle, the chances for getting approved by February, without a hearing, are in the 65 – 70 % range.  Despite the issues just mentioned, the mitigation we have offered is basically adequate to prevent market power abuse.  We may need to make some adjustments, expanding our mitigation in response to TANC’s upcoming pleadings.  FERC itself may add new conditions or tinker with the old ones, without requiring a hearing.  We may have to clarify some issues, like the cap methodology, in a subsequent pleading responding to TANC.  Nonetheless, on the merits, the mitigation should be basically sufficient to win the case, with some later tinkering.  The question is whether we can satisfy FERC on that issue without a hearing, and the answer is that we probably can.  65 –70% sounds about right.</w:t>
      </w:r>
    </w:p>
    <w:p>
      <w:pPr>
        <w:pStyle w:val="BodyTextIndent2"/>
        <w:ind w:hanging="0" w:start="0" w:end="0"/>
        <w:rPr>
          <w:b w:val="false"/>
        </w:rPr>
      </w:pPr>
      <w:r>
        <w:rPr>
          <w:b w:val="false"/>
        </w:rPr>
      </w:r>
    </w:p>
    <w:p>
      <w:pPr>
        <w:pStyle w:val="BodyTextIndent2"/>
        <w:numPr>
          <w:ilvl w:val="0"/>
          <w:numId w:val="2"/>
        </w:numPr>
        <w:rPr/>
      </w:pPr>
      <w:r>
        <w:rPr/>
        <w:t>How likely is it that the Commission would order a technical conference?</w:t>
      </w:r>
    </w:p>
    <w:p>
      <w:pPr>
        <w:pStyle w:val="BodyTextIndent2"/>
        <w:rPr/>
      </w:pPr>
      <w:r>
        <w:rPr/>
      </w:r>
    </w:p>
    <w:p>
      <w:pPr>
        <w:pStyle w:val="Normal"/>
        <w:rPr>
          <w:rFonts w:ascii="Arial" w:hAnsi="Arial" w:cs="Arial"/>
          <w:b w:val="false"/>
          <w:sz w:val="28"/>
        </w:rPr>
      </w:pPr>
      <w:r>
        <w:rPr>
          <w:rFonts w:cs="Arial" w:ascii="Arial" w:hAnsi="Arial"/>
          <w:b w:val="false"/>
          <w:sz w:val="28"/>
        </w:rPr>
      </w:r>
    </w:p>
    <w:p>
      <w:pPr>
        <w:pStyle w:val="Normal"/>
        <w:rPr/>
      </w:pPr>
      <w:r>
        <w:rPr>
          <w:b w:val="false"/>
        </w:rPr>
        <w:tab/>
        <w:t>The possibility of the Commission issuing an Order establishing a technical conference is approximately 60-65%.  If a technical conference is convened, it likely would occur in mid to late-November.  We would not expect that we would resolve our differences with TANC and SMUD at this conference.  Rather, we believe the more likely result is that the Commission would gain a better understanding of our position, the underpinnings of that position, and conclude that our mitigation is sufficient</w:t>
      </w:r>
      <w:r>
        <w:rPr>
          <w:rFonts w:cs="Arial" w:ascii="Arial" w:hAnsi="Arial"/>
          <w:b w:val="false"/>
          <w:sz w:val="28"/>
        </w:rPr>
        <w:t>.</w:t>
      </w:r>
    </w:p>
    <w:p>
      <w:pPr>
        <w:pStyle w:val="BodyTextIndent2"/>
        <w:ind w:hanging="0" w:start="0" w:end="0"/>
        <w:rPr>
          <w:rFonts w:ascii="Arial" w:hAnsi="Arial" w:cs="Arial"/>
          <w:b w:val="false"/>
          <w:sz w:val="28"/>
        </w:rPr>
      </w:pPr>
      <w:r>
        <w:rPr>
          <w:rFonts w:cs="Arial" w:ascii="Arial" w:hAnsi="Arial"/>
          <w:b w:val="false"/>
          <w:sz w:val="28"/>
        </w:rPr>
      </w:r>
    </w:p>
    <w:p>
      <w:pPr>
        <w:pStyle w:val="BodyTextIndent2"/>
        <w:ind w:hanging="0" w:start="0" w:end="0"/>
        <w:rPr>
          <w:b w:val="false"/>
        </w:rPr>
      </w:pPr>
      <w:r>
        <w:rPr>
          <w:b w:val="false"/>
        </w:rPr>
      </w:r>
    </w:p>
    <w:p>
      <w:pPr>
        <w:pStyle w:val="BodyTextIndent2"/>
        <w:ind w:hanging="0" w:start="0" w:end="0"/>
        <w:jc w:val="center"/>
        <w:rPr/>
      </w:pPr>
      <w:r>
        <w:rPr/>
        <w:t>Conclusion</w:t>
      </w:r>
    </w:p>
    <w:p>
      <w:pPr>
        <w:pStyle w:val="BodyTextIndent2"/>
        <w:ind w:hanging="0" w:start="0" w:end="0"/>
        <w:rPr>
          <w:b w:val="false"/>
        </w:rPr>
      </w:pPr>
      <w:r>
        <w:rPr>
          <w:b w:val="false"/>
        </w:rPr>
      </w:r>
    </w:p>
    <w:p>
      <w:pPr>
        <w:pStyle w:val="BodyTextIndent2"/>
        <w:ind w:hanging="0" w:start="0" w:end="0"/>
        <w:rPr>
          <w:b w:val="false"/>
        </w:rPr>
      </w:pPr>
      <w:r>
        <w:rPr>
          <w:b w:val="false"/>
        </w:rPr>
        <w:tab/>
        <w:t>Except for an angry state commission, nothing slows down a merger like a tough intervenor with an expert and a merger-related grievance.  If we do not settle with TANC and SMUD now, the chances for a year 2000 closing are extremely small.  If we settle with TANC and SMUD, there is about a 25% chance of a year 2000 closing, and a very good chance of at least closing in April.  (Failure to settle will reduce the chances of an April closing to about 65-70%).  Does that mean that the value of a TANC/SMUD settlement equals 25% of the savings from closing in 2000, plus a little bonus for  decreasing the chance of a hearing?  No, because the numbers are too slippery for this process to be reduced to a science.  Nonetheless, a settlement would remove our principal adversary, reduce the risk that some of the issues described above will come to FERC’s attention, and likely result in FERC approval by early next year.</w:t>
      </w:r>
    </w:p>
    <w:p>
      <w:pPr>
        <w:pStyle w:val="BodyTextIndent2"/>
        <w:ind w:hanging="0" w:start="0" w:end="0"/>
        <w:rPr>
          <w:b w:val="false"/>
        </w:rPr>
      </w:pPr>
      <w:r>
        <w:rPr>
          <w:b w:val="false"/>
        </w:rPr>
      </w:r>
    </w:p>
    <w:p>
      <w:pPr>
        <w:pStyle w:val="BodyTextIndent2"/>
        <w:ind w:hanging="0" w:start="0" w:end="0"/>
        <w:rPr>
          <w:b w:val="false"/>
        </w:rPr>
      </w:pPr>
      <w:r>
        <w:rPr>
          <w:b w:val="false"/>
        </w:rPr>
      </w:r>
    </w:p>
    <w:p>
      <w:pPr>
        <w:pStyle w:val="BodyTextIndent2"/>
        <w:ind w:hanging="0" w:start="0" w:end="0"/>
        <w:rPr>
          <w:b w:val="false"/>
        </w:rPr>
      </w:pPr>
      <w:r>
        <w:rPr>
          <w:b w:val="false"/>
        </w:rPr>
        <w:tab/>
        <w:tab/>
        <w:tab/>
        <w:tab/>
        <w:tab/>
        <w:tab/>
        <w:tab/>
        <w:t>Sam Behrends</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b w:val="false"/>
        </w:rPr>
        <w:t>We strongly advise serious discussions with the SEC staff, before committing to a TANC/SMUD settlement, to determine whether the above schedule is realistic.  There is not much point in offering an expensive settlement now, if we could not close in 2000 anyway.</w:t>
      </w:r>
    </w:p>
    <w:p>
      <w:pPr>
        <w:pStyle w:val="FootnoteText"/>
        <w:rPr>
          <w:b w:val="false"/>
        </w:rPr>
      </w:pPr>
      <w:r>
        <w:rPr>
          <w:b w:val="false"/>
        </w:rPr>
      </w:r>
    </w:p>
  </w:footnote>
  <w:footnote w:id="3">
    <w:p>
      <w:pPr>
        <w:pStyle w:val="FootnoteText"/>
        <w:rPr/>
      </w:pPr>
      <w:r>
        <w:rPr>
          <w:rStyle w:val="FootnoteCharacters"/>
        </w:rPr>
        <w:footnoteRef/>
      </w:r>
      <w:r>
        <w:rPr/>
        <w:t xml:space="preserve">  </w:t>
      </w:r>
      <w:r>
        <w:rPr>
          <w:b w:val="false"/>
        </w:rPr>
        <w:t>Without an early settlement with TANC and SMUD, the chance of closing in 2000 is probably less than 10%.</w:t>
      </w:r>
    </w:p>
    <w:p>
      <w:pPr>
        <w:pStyle w:val="FootnoteText"/>
        <w:rPr>
          <w:b w:val="false"/>
        </w:rPr>
      </w:pPr>
      <w:r>
        <w:rPr>
          <w:b w:val="false"/>
        </w:rPr>
      </w:r>
    </w:p>
  </w:footnote>
  <w:footnote w:id="4">
    <w:p>
      <w:pPr>
        <w:pStyle w:val="FootnoteText"/>
        <w:rPr/>
      </w:pPr>
      <w:r>
        <w:rPr>
          <w:rStyle w:val="FootnoteCharacters"/>
        </w:rPr>
        <w:footnoteRef/>
      </w:r>
      <w:r>
        <w:rPr/>
        <w:t xml:space="preserve">  </w:t>
      </w:r>
      <w:r>
        <w:rPr>
          <w:b w:val="false"/>
        </w:rPr>
        <w:t>There were 10 violations in the Economic Capacity market, but FERC views that market measure as less important, because it does not reflect long-term power sales to other parties.</w:t>
      </w:r>
    </w:p>
  </w:footnote>
  <w:footnote w:id="5">
    <w:p>
      <w:pPr>
        <w:pStyle w:val="FootnoteText"/>
        <w:rPr/>
      </w:pPr>
      <w:r>
        <w:rPr>
          <w:rStyle w:val="FootnoteCharacters"/>
        </w:rPr>
        <w:footnoteRef/>
      </w:r>
      <w:r>
        <w:rPr/>
        <w:t xml:space="preserve">   </w:t>
      </w:r>
      <w:r>
        <w:rPr>
          <w:b w:val="false"/>
        </w:rPr>
        <w:t xml:space="preserve">For example, if there were forest fires or floods in Northern California, during any of the next few summers, that could easily reduce the OTC.   </w:t>
      </w:r>
    </w:p>
    <w:p>
      <w:pPr>
        <w:pStyle w:val="FootnoteText"/>
        <w:rPr>
          <w:b w:val="false"/>
        </w:rPr>
      </w:pPr>
      <w:r>
        <w:rPr>
          <w:b w:val="false"/>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Privileged and Confidential</w:t>
    </w:r>
  </w:p>
  <w:p>
    <w:pPr>
      <w:pStyle w:val="Heading1"/>
      <w:ind w:hanging="0" w:start="0"/>
      <w:rPr/>
    </w:pPr>
    <w:r>
      <w:rPr/>
      <w:t>Attorney-Client Privilege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numFmt w:val="bullet"/>
      <w:lvlText w:val=""/>
      <w:lvlJc w:val="start"/>
      <w:pPr>
        <w:tabs>
          <w:tab w:val="num" w:pos="2220"/>
        </w:tabs>
        <w:ind w:start="2220" w:hanging="360"/>
      </w:pPr>
      <w:rPr>
        <w:rFonts w:ascii="Wingdings" w:hAnsi="Wingdings" w:cs="Wingdings" w:hint="default"/>
      </w:rPr>
    </w:lvl>
  </w:abstractNum>
  <w:abstractNum w:abstractNumId="4">
    <w:lvl w:ilvl="0">
      <w:numFmt w:val="bullet"/>
      <w:lvlText w:val=""/>
      <w:lvlJc w:val="start"/>
      <w:pPr>
        <w:tabs>
          <w:tab w:val="num" w:pos="1860"/>
        </w:tabs>
        <w:ind w:start="18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val="false"/>
      <w:bCs/>
      <w:i/>
      <w:iCs/>
    </w:rPr>
  </w:style>
  <w:style w:type="paragraph" w:styleId="Heading2">
    <w:name w:val="heading 2"/>
    <w:basedOn w:val="Normal"/>
    <w:next w:val="Normal"/>
    <w:qFormat/>
    <w:pPr>
      <w:keepNext w:val="true"/>
      <w:numPr>
        <w:ilvl w:val="1"/>
        <w:numId w:val="1"/>
      </w:numPr>
      <w:jc w:val="center"/>
      <w:outlineLvl w:val="1"/>
    </w:pPr>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szCs w:val="20"/>
    </w:rPr>
  </w:style>
  <w:style w:type="paragraph" w:styleId="BodyTextIndent">
    <w:name w:val="Body Text Indent"/>
    <w:basedOn w:val="Normal"/>
    <w:pPr>
      <w:ind w:hanging="0" w:start="720" w:end="0"/>
    </w:pPr>
    <w:rPr/>
  </w:style>
  <w:style w:type="paragraph" w:styleId="BodyTextIndent2">
    <w:name w:val="Body Text Indent 2"/>
    <w:basedOn w:val="Normal"/>
    <w:qFormat/>
    <w:pPr>
      <w:ind w:firstLine="360" w:start="1080" w:end="0"/>
    </w:pPr>
    <w:rPr/>
  </w:style>
  <w:style w:type="paragraph" w:styleId="FootnoteText">
    <w:name w:val="footnote text"/>
    <w:basedOn w:val="Normal"/>
    <w:pPr/>
    <w:rPr>
      <w:sz w:val="20"/>
      <w:szCs w:val="20"/>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2000-09-14T18:19:00Z</dcterms:created>
  <dc:creator>Sam Behrends</dc:creator>
  <dc:description/>
  <dc:language>en-CA</dc:language>
  <cp:lastModifiedBy>LLGM</cp:lastModifiedBy>
  <cp:lastPrinted>2000-09-15T12:00:00Z</cp:lastPrinted>
  <dcterms:modified xsi:type="dcterms:W3CDTF">2000-10-05T19:02:00Z</dcterms:modified>
  <cp:revision>8</cp:revision>
  <dc:subject/>
  <dc:title>Privileged and Confidential</dc:title>
</cp:coreProperties>
</file>