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rPr/>
      </w:pPr>
      <w:r>
        <w:rPr/>
        <w:t>WRITTEN CONSENT OF THE DIRECTORS</w:t>
        <w:br/>
        <w:t>OF</w:t>
        <w:br/>
      </w:r>
      <w:r>
        <w:rPr>
          <w:u w:val="single"/>
        </w:rPr>
        <w:t>SALMON ENERGY LLC</w:t>
      </w:r>
    </w:p>
    <w:p>
      <w:pPr>
        <w:pStyle w:val="BodyText"/>
        <w:rPr/>
      </w:pPr>
      <w:r>
        <w:rPr/>
        <w:t>The undersigned, being all the directors of Salmon Energy LLC, a Delaware limited liability company (the “</w:t>
      </w:r>
      <w:r>
        <w:rPr>
          <w:u w:val="single"/>
        </w:rPr>
        <w:t>Company</w:t>
      </w:r>
      <w:r>
        <w:rPr/>
        <w:t>”), do hereby consent to the taking of the following actions and the adoption of the following resolutions without a meeting, such actions and resolutions to have the same force and effect as though duly taken and adopted at a meeting of the directors of the Company duly called and legally held.</w:t>
      </w:r>
    </w:p>
    <w:p>
      <w:pPr>
        <w:pStyle w:val="BodyText"/>
        <w:rPr>
          <w:b/>
          <w:u w:val="single"/>
        </w:rPr>
      </w:pPr>
      <w:r>
        <w:rPr>
          <w:b/>
          <w:u w:val="single"/>
        </w:rPr>
        <w:t>PROMISSORY NOTE</w:t>
      </w:r>
    </w:p>
    <w:p>
      <w:pPr>
        <w:pStyle w:val="BodyText"/>
        <w:keepNext w:val="true"/>
        <w:keepLines/>
        <w:rPr/>
      </w:pPr>
      <w:r>
        <w:rPr>
          <w:b/>
        </w:rPr>
        <w:t>BE IT RESOLVED</w:t>
      </w:r>
      <w:r>
        <w:rPr/>
        <w:t>, that the Company enter into, execute, deliver and perform its obligations under that certain Promissory Note, dated as of May __, 2001 (the “</w:t>
      </w:r>
      <w:r>
        <w:rPr>
          <w:u w:val="single"/>
        </w:rPr>
        <w:t>Note</w:t>
      </w:r>
      <w:r>
        <w:rPr/>
        <w:t>”), for the benefit of Pegasus, in an aggregate original principal amount of $67,776,700, and enter into such other documents as may be needed to reflect the capital structure of the transactions contemplated thereby, and that the Company’s performance of its obligations under the Note be, and it hereby is, in all respects authorized and approved; and be it</w:t>
      </w:r>
    </w:p>
    <w:p>
      <w:pPr>
        <w:pStyle w:val="BodyText"/>
        <w:rPr/>
      </w:pPr>
      <w:r>
        <w:rPr>
          <w:b/>
        </w:rPr>
        <w:t>FURTHER RESOLVED</w:t>
      </w:r>
      <w:r>
        <w:rPr/>
        <w:t>, that the President and Vice President of the Company (each an “</w:t>
      </w:r>
      <w:r>
        <w:rPr>
          <w:u w:val="single"/>
        </w:rPr>
        <w:t>Appropriate Officer</w:t>
      </w:r>
      <w:r>
        <w:rPr/>
        <w:t xml:space="preserve">”) are hereby authorized and directed to execute and deliver the Note in the Company’s name and on its behalf, in substantially the form of </w:t>
      </w:r>
      <w:r>
        <w:rPr>
          <w:u w:val="single"/>
        </w:rPr>
        <w:t>Exhibit A</w:t>
      </w:r>
      <w:r>
        <w:rPr/>
        <w:t xml:space="preserve"> attached hereto, which form is hereby approved with such modifications thereto as the Appropriate Officer executing the same may approve, such approval to be conclusively evidenced by his execution thereof, and that the Note when so executed and delivered shall be the legal, valid and binding obligation of the Company enforceable against the Company in accordance with their terms; and be it</w:t>
      </w:r>
    </w:p>
    <w:p>
      <w:pPr>
        <w:pStyle w:val="BodyText"/>
        <w:rPr/>
      </w:pPr>
      <w:r>
        <w:rPr>
          <w:b/>
        </w:rPr>
        <w:t>FURTHER RESOLVED</w:t>
      </w:r>
      <w:r>
        <w:rPr/>
        <w:t>, that each Appropriate Officer is hereby authorized and directed to do and perform all such acts and things and to execute and deliver on the Company’s behalf and in its name, any and all certificates, amendments, documents, reports and statements as may be required by or otherwise provided for in the Note, or as shall otherwise be necessary or appropriate in order to ensure the Company’s continued compliance with all the provisions and requirements of the Note.</w:t>
      </w:r>
    </w:p>
    <w:p>
      <w:pPr>
        <w:pStyle w:val="INDENT"/>
        <w:keepNext w:val="true"/>
        <w:keepLines/>
        <w:numPr>
          <w:ilvl w:val="0"/>
          <w:numId w:val="0"/>
        </w:numPr>
        <w:ind w:firstLine="1440" w:start="0"/>
        <w:outlineLvl w:val="0"/>
        <w:rPr/>
      </w:pPr>
      <w:r>
        <w:rPr/>
        <w:t>SECURITY AGREEMENT</w:t>
      </w:r>
    </w:p>
    <w:p>
      <w:pPr>
        <w:pStyle w:val="BodyText"/>
        <w:keepNext w:val="true"/>
        <w:keepLines/>
        <w:rPr/>
      </w:pPr>
      <w:r>
        <w:rPr>
          <w:b/>
        </w:rPr>
        <w:t>BE IT RESOLVED</w:t>
      </w:r>
      <w:r>
        <w:rPr/>
        <w:t>, that the Company shall enter into, execute, deliver and perform its obligations under that certain Security Agreement, dated as of May ___, 2001 (the “</w:t>
      </w:r>
      <w:r>
        <w:rPr>
          <w:u w:val="single"/>
        </w:rPr>
        <w:t>Security Agreement</w:t>
      </w:r>
      <w:r>
        <w:rPr/>
        <w:t>”), by the Company in favor of Pegasus, as Secured Party, and U.S. Bank Trust National Association, as the Collateral Agent, and that the Company’s performance of its obligations under the Security Agreement be, and it hereby is, in all respects authorized and approved; and be it</w:t>
      </w:r>
    </w:p>
    <w:p>
      <w:pPr>
        <w:pStyle w:val="BodyText"/>
        <w:keepNext w:val="true"/>
        <w:keepLines/>
        <w:rPr/>
      </w:pPr>
      <w:r>
        <w:rPr>
          <w:b/>
        </w:rPr>
        <w:t>FURTHER RESOLVED</w:t>
      </w:r>
      <w:r>
        <w:rPr/>
        <w:t xml:space="preserve">, that each Appropriate Officer is hereby authorized and directed to execute and deliver the Security Agreement in the Company’s name and on its behalf, in substantially the form of </w:t>
      </w:r>
      <w:r>
        <w:rPr>
          <w:u w:val="single"/>
        </w:rPr>
        <w:t>Exhibit B</w:t>
      </w:r>
      <w:r>
        <w:rPr/>
        <w:t xml:space="preserve"> attached hereto, which form is hereby approved with such modifications thereto as contemplated by these resolutions, and with such other modifications thereto as the Appropriate Officer executing the same may approve, such approval to be conclusively evidenced by his execution thereof, and that the Security Agreement when so executed and delivered shall be the legal, valid and binding obligation of the Company enforceable against the Company in accordance with its terms; and be it</w:t>
      </w:r>
    </w:p>
    <w:p>
      <w:pPr>
        <w:pStyle w:val="BodyText"/>
        <w:rPr/>
      </w:pPr>
      <w:r>
        <w:rPr>
          <w:b/>
        </w:rPr>
        <w:t>FURTHER RESOLVED</w:t>
      </w:r>
      <w:r>
        <w:rPr/>
        <w:t>, that each Appropriate Officer is hereby authorized and directed to do and perform all such acts and things and to execute and deliver on the Company’s behalf and in its name, any and all certificates, instruments, documents, reports and statements as may be required by or otherwise provided for in the Security Agreement, or as shall otherwise be necessary or appropriate in order to ensure the Company’s continued compliance with all the provisions and requirements of the Security Agreement.</w:t>
      </w:r>
    </w:p>
    <w:p>
      <w:pPr>
        <w:pStyle w:val="BodyText"/>
        <w:rPr>
          <w:b/>
          <w:u w:val="single"/>
        </w:rPr>
      </w:pPr>
      <w:r>
        <w:rPr>
          <w:b/>
          <w:u w:val="single"/>
        </w:rPr>
        <w:t>CONSENT AGREEMENT</w:t>
      </w:r>
    </w:p>
    <w:p>
      <w:pPr>
        <w:pStyle w:val="BodyText"/>
        <w:rPr/>
      </w:pPr>
      <w:r>
        <w:rPr>
          <w:b/>
        </w:rPr>
        <w:t>BE IT RESOLVED</w:t>
      </w:r>
      <w:r>
        <w:rPr/>
        <w:t>, that the Company enter into, execute, deliver and perform its obligations under that certain Consent and Agreement, dated as of May ___, 2001 (the “</w:t>
      </w:r>
      <w:r>
        <w:rPr>
          <w:u w:val="single"/>
        </w:rPr>
        <w:t>Consent and Agreement</w:t>
      </w:r>
      <w:r>
        <w:rPr/>
        <w:t>”), by GE Packaged Power, Inc., in favor of the Company, and Chase Manhattan Bank, as Collateral Agent, and that the Company’s performance of its obligations under the Consent and Agreement be, and it hereby is, in all respects authorized and approved; and be it</w:t>
      </w:r>
    </w:p>
    <w:p>
      <w:pPr>
        <w:pStyle w:val="BodyText"/>
        <w:rPr/>
      </w:pPr>
      <w:r>
        <w:rPr>
          <w:b/>
        </w:rPr>
        <w:t>FURTHER RESOLVED</w:t>
      </w:r>
      <w:r>
        <w:rPr/>
        <w:t xml:space="preserve">, that each Appropriate Officer of the Company is hereby authorized and directed to execute and deliver the Consent and Agreement in the Company’s name and on its behalf, in substantially the form of </w:t>
      </w:r>
      <w:r>
        <w:rPr>
          <w:u w:val="single"/>
        </w:rPr>
        <w:t>Exhibit C</w:t>
      </w:r>
      <w:r>
        <w:rPr/>
        <w:t>, attached hereto, which form is hereby approved with such modifications thereto as the Appropriate Officer executing the same may approve, such approval to be conclusively evidenced by his execution thereof, and that the Consent and Agreement when so executed and delivered shall be the legal, valid and binding obligation of the Company enforceable against the Company in accordance with its terms; and be it</w:t>
      </w:r>
    </w:p>
    <w:p>
      <w:pPr>
        <w:pStyle w:val="BodyText"/>
        <w:rPr/>
      </w:pPr>
      <w:r>
        <w:rPr>
          <w:b/>
        </w:rPr>
        <w:t>FURTHER RESOLVED</w:t>
      </w:r>
      <w:r>
        <w:rPr/>
        <w:t>, that each Appropriate Officer is hereby authorized and directed to do and perform all such acts and things and to execute and deliver on the Company’s behalf and in its name, any and all certificates, amendments, documents, reports and statements as may be required by or otherwise provided for in the Consent and Agreement, or as shall otherwise be necessary or appropriate in order to ensure the Company’s continued compliance with all the provisions and requirements of the Consent and Agreement.</w:t>
      </w:r>
    </w:p>
    <w:p>
      <w:pPr>
        <w:pStyle w:val="BodyText"/>
        <w:keepNext w:val="true"/>
        <w:keepLines/>
        <w:rPr>
          <w:b/>
          <w:u w:val="single"/>
        </w:rPr>
      </w:pPr>
      <w:r>
        <w:rPr>
          <w:b/>
          <w:u w:val="single"/>
        </w:rPr>
        <w:t>AUTHORIZATION OF ADDITIONAL ACTION</w:t>
      </w:r>
    </w:p>
    <w:p>
      <w:pPr>
        <w:pStyle w:val="BodyText"/>
        <w:keepNext w:val="true"/>
        <w:keepLines/>
        <w:rPr/>
      </w:pPr>
      <w:r>
        <w:rPr>
          <w:b/>
        </w:rPr>
        <w:t>BE IT RESOLVED</w:t>
      </w:r>
      <w:r>
        <w:rPr/>
        <w:t>, that any officers of the Company are, and each of them hereby is, authorized and directed to execute and deliver such agreements, documents, assignments, certificates and other instruments and to take such other action as may be necessary, advisable, convenient or proper to carry out the intent of these resolutions and to fully perform the provisions of any and all agreements, documents, assignments, certificates and instruments executed on behalf of the Company pursuant to these resolutions.</w:t>
      </w:r>
    </w:p>
    <w:p>
      <w:pPr>
        <w:pStyle w:val="BodyText"/>
        <w:keepNext w:val="true"/>
        <w:keepLines/>
        <w:rPr>
          <w:b/>
          <w:u w:val="single"/>
        </w:rPr>
      </w:pPr>
      <w:r>
        <w:rPr>
          <w:b/>
          <w:u w:val="single"/>
        </w:rPr>
        <w:t>RATIFICATION OF PRIOR ACTIONS</w:t>
      </w:r>
    </w:p>
    <w:p>
      <w:pPr>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pStyle w:val="BodyText"/>
        <w:keepNext w:val="true"/>
        <w:keepLines/>
        <w:rPr/>
      </w:pPr>
      <w:r>
        <w:rPr>
          <w:b/>
        </w:rPr>
        <w:t>BE IT RESOLVED</w:t>
      </w:r>
      <w:r>
        <w:rPr/>
        <w:t>, that any and all actions of any officer of the Company taken prior to the date hereof to carry out the purposes of the foregoing resolutions and the transactions contemplated thereunder, the taking of any such action to constitute conclusive evidence of the exercise of such discretionary authority, are hereby ratified, approved and confirmed in all respects.</w:t>
      </w:r>
    </w:p>
    <w:p>
      <w:pPr>
        <w:pStyle w:val="BodyText"/>
        <w:rPr/>
      </w:pPr>
      <w:r>
        <w:rPr>
          <w:b/>
        </w:rPr>
        <w:t>IN WITNESS WHEREOF</w:t>
      </w:r>
      <w:r>
        <w:rPr/>
        <w:t>, this Written Consent is executed as of this _____ day of April 2001.</w:t>
      </w:r>
    </w:p>
    <w:p>
      <w:pPr>
        <w:pStyle w:val="BodyText"/>
        <w:rPr/>
      </w:pPr>
      <w:r>
        <w:rPr/>
      </w:r>
    </w:p>
    <w:p>
      <w:pPr>
        <w:pStyle w:val="Signature"/>
        <w:ind w:start="0" w:end="0"/>
        <w:rPr/>
      </w:pPr>
      <w:r>
        <w:rPr>
          <w:b/>
        </w:rPr>
        <w:t>SALMON ENERGY LLC</w:t>
        <w:br/>
      </w:r>
      <w:r>
        <w:rPr/>
        <w:t>a Delaware Limited Liability Company</w:t>
        <w:br/>
        <w:br/>
        <w:t xml:space="preserve">By: </w:t>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t>________________________________</w:t>
        <w:tab/>
        <w:tab/>
        <w:t>______________________________</w:t>
      </w:r>
    </w:p>
    <w:p>
      <w:pPr>
        <w:pStyle w:val="Signature"/>
        <w:ind w:start="0" w:end="0"/>
        <w:rPr/>
      </w:pPr>
      <w:r>
        <w:rPr/>
        <w:t>Dean Vanech, Director</w:t>
        <w:tab/>
        <w:tab/>
        <w:tab/>
        <w:tab/>
        <w:t>Kenneth Ross, Director</w:t>
      </w:r>
    </w:p>
    <w:p>
      <w:pPr>
        <w:pStyle w:val="Signature"/>
        <w:rPr/>
      </w:pPr>
      <w:r>
        <w:rPr/>
      </w:r>
    </w:p>
    <w:p>
      <w:pPr>
        <w:pStyle w:val="Signature"/>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t>________________________________</w:t>
        <w:tab/>
        <w:tab/>
        <w:t>______________________________</w:t>
      </w:r>
    </w:p>
    <w:p>
      <w:pPr>
        <w:pStyle w:val="Signature"/>
        <w:ind w:start="0" w:end="0"/>
        <w:rPr/>
      </w:pPr>
      <w:r>
        <w:rPr/>
        <w:t xml:space="preserve">Richard Vicens, Director </w:t>
        <w:tab/>
        <w:tab/>
        <w:tab/>
        <w:tab/>
        <w:t>Jacob S. Thomas, Director</w:t>
      </w:r>
    </w:p>
    <w:p>
      <w:pPr>
        <w:pStyle w:val="Signature"/>
        <w:rPr/>
      </w:pPr>
      <w:r>
        <w:rPr/>
      </w:r>
    </w:p>
    <w:p>
      <w:pPr>
        <w:pStyle w:val="Signature"/>
        <w:rPr/>
      </w:pPr>
      <w:r>
        <w:rPr/>
      </w:r>
      <w:r>
        <w:br w:type="page"/>
      </w:r>
    </w:p>
    <w:p>
      <w:pPr>
        <w:pStyle w:val="Centered"/>
        <w:rPr/>
      </w:pPr>
      <w:r>
        <w:rPr/>
      </w:r>
    </w:p>
    <w:p>
      <w:pPr>
        <w:pStyle w:val="BodyText"/>
        <w:jc w:val="end"/>
        <w:rPr>
          <w:u w:val="single"/>
        </w:rPr>
      </w:pPr>
      <w:r>
        <w:rPr>
          <w:u w:val="single"/>
        </w:rPr>
        <w:t>EXHIBIT A</w:t>
      </w:r>
    </w:p>
    <w:p>
      <w:pPr>
        <w:pStyle w:val="Centered"/>
        <w:rPr/>
      </w:pPr>
      <w:r>
        <w:rPr/>
        <w:t>PROMISSORY NOTE</w:t>
      </w:r>
      <w:r>
        <w:br w:type="page"/>
      </w:r>
    </w:p>
    <w:p>
      <w:pPr>
        <w:pStyle w:val="BodyText"/>
        <w:jc w:val="end"/>
        <w:rPr>
          <w:u w:val="single"/>
        </w:rPr>
      </w:pPr>
      <w:r>
        <w:rPr>
          <w:u w:val="single"/>
        </w:rPr>
        <w:t>EXHIBIT B</w:t>
      </w:r>
    </w:p>
    <w:p>
      <w:pPr>
        <w:pStyle w:val="Centered"/>
        <w:rPr/>
      </w:pPr>
      <w:r>
        <w:rPr/>
        <w:t>SECURITY AGREEMENT</w:t>
      </w:r>
      <w:r>
        <w:br w:type="page"/>
      </w:r>
    </w:p>
    <w:p>
      <w:pPr>
        <w:pStyle w:val="BodyText"/>
        <w:jc w:val="end"/>
        <w:rPr>
          <w:u w:val="single"/>
        </w:rPr>
      </w:pPr>
      <w:r>
        <w:rPr>
          <w:u w:val="single"/>
        </w:rPr>
        <w:t>EXHIBIT C</w:t>
      </w:r>
    </w:p>
    <w:p>
      <w:pPr>
        <w:pStyle w:val="Centered"/>
        <w:rPr/>
      </w:pPr>
      <w:r>
        <w:rPr/>
        <w:t>CONSENT AGREEMENT</w:t>
      </w:r>
    </w:p>
    <w:p>
      <w:pPr>
        <w:pStyle w:val="Centered"/>
        <w:spacing w:before="0" w:after="240"/>
        <w:rPr/>
      </w:pPr>
      <w:r>
        <w:rPr/>
      </w:r>
    </w:p>
    <w:sectPr>
      <w:headerReference w:type="default" r:id="rId6"/>
      <w:headerReference w:type="first" r:id="rId7"/>
      <w:footerReference w:type="default" r:id="rId8"/>
      <w:footerReference w:type="first" r:id="rId9"/>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STM/196225.2</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tab/>
    </w:r>
    <w:r>
      <w:rPr>
        <w:sz w:val="16"/>
      </w:rPr>
      <w:t>Salmon Energy LLC – Director Resolution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STM/196225.2</w:t>
    </w:r>
    <w:r>
      <w:rPr/>
      <w:t xml:space="preserve"> </w:t>
      <w:tab/>
      <w:tab/>
    </w:r>
    <w:r>
      <w:rPr>
        <w:sz w:val="16"/>
      </w:rPr>
      <w:t>Salmon Energy LLC – Director Resolution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STM/196225.2</w:t>
    </w:r>
    <w:r>
      <w:rPr/>
      <w:t xml:space="preserve"> </w:t>
    </w:r>
    <w:r>
      <w:rPr>
        <w:sz w:val="24"/>
      </w:rPr>
      <w:tab/>
      <w:tab/>
    </w:r>
    <w:r>
      <w:rPr>
        <w:sz w:val="16"/>
      </w:rPr>
      <w:t>Salmon Energy, LLC –  Director Resolution</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STM/196225</w:t>
    </w:r>
    <w:r>
      <w:rPr/>
      <w:t xml:space="preserve"> </w:t>
      <w:tab/>
      <w:tab/>
    </w:r>
    <w:r>
      <w:rPr>
        <w:sz w:val="16"/>
      </w:rPr>
      <w:t>Salmon Energy LLC – Director Resolution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STM/196225.2"/>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b/>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paragraph" w:styleId="INDENT">
    <w:name w:val="INDENT"/>
    <w:basedOn w:val="Normal"/>
    <w:qFormat/>
    <w:pPr>
      <w:spacing w:before="0" w:after="240"/>
      <w:ind w:firstLine="1440" w:start="0" w:end="0"/>
    </w:pPr>
    <w:rPr>
      <w:b/>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2001-04-24T19:09:00Z</dcterms:created>
  <dc:creator>PHJW</dc:creator>
  <dc:description/>
  <dc:language>en-CA</dc:language>
  <cp:lastModifiedBy>PHJW</cp:lastModifiedBy>
  <cp:lastPrinted>2001-04-25T12:21:00Z</cp:lastPrinted>
  <dcterms:modified xsi:type="dcterms:W3CDTF">2001-04-25T13:53:00Z</dcterms:modified>
  <cp:revision>16</cp:revision>
  <dc:subject/>
  <dc:title>MacPac 8.0 Normal template</dc:title>
</cp:coreProperties>
</file>