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b/>
          <w:bCs/>
        </w:rPr>
        <w:t>To:</w:t>
      </w:r>
      <w:r>
        <w:rPr/>
        <w:t xml:space="preserve"> </w:t>
        <w:tab/>
        <w:t>Gerald Nemec</w:t>
      </w:r>
    </w:p>
    <w:p>
      <w:pPr>
        <w:pStyle w:val="Normal"/>
        <w:rPr/>
      </w:pPr>
      <w:r>
        <w:rPr/>
      </w:r>
    </w:p>
    <w:p>
      <w:pPr>
        <w:pStyle w:val="Normal"/>
        <w:rPr/>
      </w:pPr>
      <w:r>
        <w:rPr>
          <w:b/>
          <w:bCs/>
        </w:rPr>
        <w:t>From</w:t>
      </w:r>
      <w:r>
        <w:rPr/>
        <w:t>:  Bill Nealy</w:t>
      </w:r>
    </w:p>
    <w:p>
      <w:pPr>
        <w:pStyle w:val="Normal"/>
        <w:rPr/>
      </w:pPr>
      <w:r>
        <w:rPr/>
      </w:r>
    </w:p>
    <w:p>
      <w:pPr>
        <w:pStyle w:val="Normal"/>
        <w:rPr/>
      </w:pPr>
      <w:r>
        <w:rPr>
          <w:b/>
          <w:bCs/>
        </w:rPr>
        <w:t xml:space="preserve">Re:  </w:t>
      </w:r>
      <w:r>
        <w:rPr/>
        <w:tab/>
        <w:t>Limited Partnership – Fiduciary Duties (sale of assets)</w:t>
      </w:r>
    </w:p>
    <w:p>
      <w:pPr>
        <w:pStyle w:val="Normal"/>
        <w:rPr/>
      </w:pPr>
      <w:r>
        <w:rPr/>
      </w:r>
    </w:p>
    <w:p>
      <w:pPr>
        <w:pStyle w:val="Normal"/>
        <w:pBdr>
          <w:bottom w:val="single" w:sz="12" w:space="1" w:color="000000"/>
        </w:pBdr>
        <w:rPr/>
      </w:pPr>
      <w:r>
        <w:rPr>
          <w:b/>
          <w:bCs/>
        </w:rPr>
        <w:t>Date:</w:t>
      </w:r>
      <w:r>
        <w:rPr/>
        <w:t xml:space="preserve"> </w:t>
        <w:tab/>
        <w:t>May 23, 2000</w:t>
      </w:r>
    </w:p>
    <w:p>
      <w:pPr>
        <w:pStyle w:val="Normal"/>
        <w:rPr/>
      </w:pPr>
      <w:r>
        <w:rPr/>
      </w:r>
    </w:p>
    <w:p>
      <w:pPr>
        <w:pStyle w:val="BodyText"/>
        <w:ind w:hanging="2160" w:start="2160" w:end="0"/>
        <w:jc w:val="center"/>
        <w:rPr/>
      </w:pPr>
      <w:r>
        <w:rPr/>
        <w:t>Issue</w:t>
      </w:r>
    </w:p>
    <w:p>
      <w:pPr>
        <w:pStyle w:val="BodyText"/>
        <w:ind w:hanging="2160" w:start="2160" w:end="0"/>
        <w:jc w:val="center"/>
        <w:rPr/>
      </w:pPr>
      <w:r>
        <w:rPr/>
      </w:r>
    </w:p>
    <w:p>
      <w:pPr>
        <w:pStyle w:val="BodyText"/>
        <w:spacing w:lineRule="auto" w:line="480"/>
        <w:ind w:firstLine="720" w:end="0"/>
        <w:rPr>
          <w:b w:val="false"/>
          <w:bCs w:val="false"/>
        </w:rPr>
      </w:pPr>
      <w:r>
        <w:rPr>
          <w:b w:val="false"/>
          <w:bCs w:val="false"/>
        </w:rPr>
        <w:t>As a subsidiary of a Delaware corporation that is a 100% owner of a general partnership, does the subsidiary (or affiliate) owe any fiduciary duties to a limited partner, and if so, what duties does the corporation owe to the limited partner?</w:t>
      </w:r>
    </w:p>
    <w:p>
      <w:pPr>
        <w:pStyle w:val="BodyText"/>
        <w:jc w:val="center"/>
        <w:rPr/>
      </w:pPr>
      <w:r>
        <w:rPr/>
        <w:t>Brief Answer</w:t>
      </w:r>
    </w:p>
    <w:p>
      <w:pPr>
        <w:pStyle w:val="BodyText"/>
        <w:jc w:val="center"/>
        <w:rPr/>
      </w:pPr>
      <w:r>
        <w:rPr/>
      </w:r>
    </w:p>
    <w:p>
      <w:pPr>
        <w:pStyle w:val="BodyText"/>
        <w:spacing w:lineRule="auto" w:line="480"/>
        <w:ind w:firstLine="720" w:end="0"/>
        <w:rPr/>
      </w:pPr>
      <w:r>
        <w:rPr>
          <w:b w:val="false"/>
          <w:bCs w:val="false"/>
          <w:i/>
          <w:iCs/>
        </w:rPr>
        <w:t>Wallace v. Woo</w:t>
      </w:r>
      <w:r>
        <w:rPr>
          <w:b w:val="false"/>
          <w:bCs w:val="false"/>
        </w:rPr>
        <w:t>d held that officers, affiliates and parents of a general partner, may owe fiduciary duties to limited partners if those entities control the partnership’s property.  However, per the partnership agreement, the party’s can contract to limit these fiduciary duties.  The affiliate owes the general partner the fiduciary duty, at least, not to self-deal if the affiliate exercises control over the partnership’s property.</w:t>
      </w:r>
    </w:p>
    <w:p>
      <w:pPr>
        <w:pStyle w:val="BodyText"/>
        <w:spacing w:lineRule="auto" w:line="480"/>
        <w:jc w:val="center"/>
        <w:rPr/>
      </w:pPr>
      <w:r>
        <w:rPr/>
        <w:t>Discussion</w:t>
      </w:r>
    </w:p>
    <w:p>
      <w:pPr>
        <w:pStyle w:val="BodyText"/>
        <w:spacing w:lineRule="auto" w:line="480"/>
        <w:rPr/>
      </w:pPr>
      <w:r>
        <w:rPr>
          <w:b w:val="false"/>
          <w:bCs w:val="false"/>
        </w:rPr>
        <w:tab/>
        <w:t xml:space="preserve">There is no statutory rule governing whether an affiliate owes a fiduciary duty to limited partners of a limited partnership.  However, in </w:t>
      </w:r>
      <w:r>
        <w:rPr>
          <w:b w:val="false"/>
          <w:bCs w:val="false"/>
          <w:i/>
          <w:iCs/>
        </w:rPr>
        <w:t>In re USACafes, LP Litigation</w:t>
      </w:r>
      <w:r>
        <w:rPr>
          <w:b w:val="false"/>
          <w:bCs w:val="false"/>
        </w:rPr>
        <w:t>, the limited partners brought allegations that the directors of the corporate general partner breached their fiduciary obligations as directors of a Delaware corporation in connection with the sale of partnership assets.  In essence, their claim was that the sale of the partnership assets were at a low price, favorable to the third party corporation, because the directors of the corporate general partner received substantial side payments to induce the general partner to sell the partnership assets for less than the price that a fair process would have yielded.</w:t>
      </w:r>
      <w:r>
        <w:rPr>
          <w:rStyle w:val="FootnoteCharacters"/>
          <w:rStyle w:val="FootnoteReference"/>
          <w:b/>
          <w:bCs/>
        </w:rPr>
        <w:footnoteReference w:id="2"/>
      </w:r>
      <w:r>
        <w:rPr>
          <w:b w:val="false"/>
          <w:bCs w:val="false"/>
        </w:rPr>
        <w:t xml:space="preserve">  Because the Chancery Court found no previous precedent, the court looked to trust law.  In a trust, the directors and officers of a corporate trustee are under a duty to the beneficiaries not to convert to their own use property of the trust administered by the corporation.</w:t>
      </w:r>
      <w:r>
        <w:rPr>
          <w:rStyle w:val="FootnoteCharacters"/>
          <w:rStyle w:val="FootnoteReference"/>
          <w:b/>
          <w:bCs/>
        </w:rPr>
        <w:footnoteReference w:id="3"/>
      </w:r>
      <w:r>
        <w:rPr>
          <w:b w:val="false"/>
          <w:bCs w:val="false"/>
        </w:rPr>
        <w:t xml:space="preserve">  Likewise, a director of a corporate general partner bears a similar duty towards the limited partnership.  </w:t>
      </w:r>
    </w:p>
    <w:p>
      <w:pPr>
        <w:pStyle w:val="BodyText"/>
        <w:spacing w:lineRule="auto" w:line="480"/>
        <w:ind w:firstLine="720" w:end="0"/>
        <w:rPr/>
      </w:pPr>
      <w:r>
        <w:rPr>
          <w:b w:val="false"/>
          <w:bCs w:val="false"/>
          <w:i/>
          <w:iCs/>
        </w:rPr>
        <w:t>In determining the scope of that fiduciary duty, the court stated that a general partner does have a fiduciary duty to a controlling shareholder, as well as, directors of the general partner who more directly than a controlling shareholder, are in control of the partnership’s property.</w:t>
      </w:r>
      <w:r>
        <w:rPr>
          <w:rStyle w:val="FootnoteCharacters"/>
          <w:rStyle w:val="FootnoteReference"/>
          <w:b/>
          <w:bCs/>
        </w:rPr>
        <w:footnoteReference w:id="4"/>
      </w:r>
      <w:r>
        <w:rPr>
          <w:b w:val="false"/>
          <w:bCs w:val="false"/>
        </w:rPr>
        <w:t xml:space="preserve">  This suggests that if, in fact, a controlling shareholder is considered to have a fiduciary duty to limited partners, that an affiliate might also have some fiduciary duty.  On the other hand, an affiliate has no real control over the assets of the limited partnership, the parent company does.  Additionally, this case is distinguishable because it concerned the sell of partnership assets and in this case, the breach resulted from inducement by side payments to the general partner, which probably had some influence on the Delaware court’s decision.  </w:t>
      </w:r>
      <w:r>
        <w:rPr>
          <w:b w:val="false"/>
          <w:bCs w:val="false"/>
          <w:i/>
          <w:iCs/>
        </w:rPr>
        <w:t>In any case, the court declined to determine the full scope of that fiduciary duty, only concluding that a controlling shareholder, general partner, or director of a general partner has a duty not to use control over the partnership’s property to the advantage of the corporate director at the expense of the partnership.</w:t>
      </w:r>
      <w:r>
        <w:rPr>
          <w:rStyle w:val="FootnoteCharacters"/>
          <w:rStyle w:val="FootnoteReference"/>
          <w:b/>
          <w:bCs/>
        </w:rPr>
        <w:footnoteReference w:id="5"/>
      </w:r>
      <w:r>
        <w:rPr>
          <w:b w:val="false"/>
          <w:bCs w:val="false"/>
        </w:rPr>
        <w:t xml:space="preserve">  </w:t>
      </w:r>
    </w:p>
    <w:p>
      <w:pPr>
        <w:pStyle w:val="BodyText"/>
        <w:spacing w:lineRule="auto" w:line="480"/>
        <w:rPr/>
      </w:pPr>
      <w:r>
        <w:rPr>
          <w:b w:val="false"/>
          <w:bCs w:val="false"/>
        </w:rPr>
        <w:tab/>
        <w:t>The Chancery Court did, however, touch on two issues.  The court stated that a self-dealing transaction in which the board of the corporate general partner formed a new entity and then caused the general partner to sell partnership assets to the new entity at an unfairly small price, injuring the partnership and its limited partners would be a breach of the corporate general partner’s and the directors fiduciary duty.</w:t>
      </w:r>
      <w:r>
        <w:rPr>
          <w:rStyle w:val="FootnoteCharacters"/>
          <w:rStyle w:val="FootnoteReference"/>
          <w:b/>
          <w:bCs/>
        </w:rPr>
        <w:footnoteReference w:id="6"/>
      </w:r>
      <w:r>
        <w:rPr>
          <w:b w:val="false"/>
          <w:bCs w:val="false"/>
        </w:rPr>
        <w:t xml:space="preserve">  </w:t>
      </w:r>
      <w:r>
        <w:rPr>
          <w:b w:val="false"/>
          <w:bCs w:val="false"/>
          <w:i/>
          <w:iCs/>
        </w:rPr>
        <w:t>Additionally, the court suggested that the use of confidential information by a director concerning the partnership’s business not yet known by the board of the general partner, while it may not be a breach of loyalty or care by the general partner itself, there may be director liability to the partnership</w:t>
      </w:r>
      <w:r>
        <w:rPr>
          <w:b w:val="false"/>
          <w:bCs w:val="false"/>
        </w:rPr>
        <w:t>.</w:t>
      </w:r>
      <w:r>
        <w:rPr>
          <w:rStyle w:val="FootnoteCharacters"/>
          <w:rStyle w:val="FootnoteReference"/>
          <w:b/>
          <w:bCs/>
        </w:rPr>
        <w:footnoteReference w:id="7"/>
      </w:r>
      <w:r>
        <w:rPr>
          <w:b w:val="false"/>
          <w:bCs w:val="false"/>
        </w:rPr>
        <w:t xml:space="preserve">  If a corporate director of a general partner has a duty to disclose confidential information to a limited partner, why shouldn’t an affiliate?  On the other hand, an affiliate is not directly involved in the general partnership’s business, and thus wouldn’t have enough control over the partnership’s interest.</w:t>
      </w:r>
    </w:p>
    <w:p>
      <w:pPr>
        <w:pStyle w:val="BodyText"/>
        <w:spacing w:lineRule="auto" w:line="480"/>
        <w:ind w:firstLine="720" w:end="0"/>
        <w:rPr/>
      </w:pPr>
      <w:r>
        <w:rPr>
          <w:b w:val="false"/>
          <w:bCs w:val="false"/>
        </w:rPr>
        <w:t xml:space="preserve">Some light was shed on the issue of whether an affiliate has some fiduciary duty to a limited partnership in </w:t>
      </w:r>
      <w:r>
        <w:rPr>
          <w:b w:val="false"/>
          <w:bCs w:val="false"/>
          <w:i/>
          <w:iCs/>
        </w:rPr>
        <w:t>Wallace v. Wood</w:t>
      </w:r>
      <w:r>
        <w:rPr>
          <w:b w:val="false"/>
          <w:bCs w:val="false"/>
        </w:rPr>
        <w:t xml:space="preserve">.  In this case, the limited partners alleged that the officers, affiliates and parents of the general partners of the limited partnership personally caused the limited partners to enter into self-interested transactions.  Plaintiffs claimed that the affiliates, parents, and officers circumvented the partnership’s debt limitations; and then used the affiliate to make acquisitions and usurped business opportunities available to the Limited Partnership.  </w:t>
      </w:r>
      <w:r>
        <w:rPr>
          <w:b w:val="false"/>
          <w:bCs w:val="false"/>
          <w:i/>
          <w:iCs/>
        </w:rPr>
        <w:t>The court stated it is well settled that, unless limited by the limited partnership agreement, the general partner of a Delaware limited partnership and the directors of a corporate General Partner who controls the partnership, like directors of a Delaware corporation, have the fiduciary duty to manage the partnership in the partnership’s interests and the interests of the limited partners.</w:t>
      </w:r>
      <w:r>
        <w:rPr>
          <w:rStyle w:val="FootnoteCharacters"/>
          <w:rStyle w:val="FootnoteReference"/>
          <w:b/>
          <w:bCs/>
        </w:rPr>
        <w:footnoteReference w:id="8"/>
      </w:r>
      <w:r>
        <w:rPr>
          <w:b w:val="false"/>
          <w:bCs w:val="false"/>
        </w:rPr>
        <w:t xml:space="preserve">  The court concluded that officers, affiliates and parents of a general partner, may owe fiduciary duties to limited partners if those entities control the partnership’s property.  However, this case has been remanded to determine whether there was a breach of fiduciary duty on the part of the corporate directors, general partner, and/or affiliate.  Those duties, when owed may not be breached in a manner that harms the partnership.  </w:t>
      </w:r>
    </w:p>
    <w:p>
      <w:pPr>
        <w:pStyle w:val="BodyText"/>
        <w:spacing w:lineRule="auto" w:line="480"/>
        <w:ind w:firstLine="720" w:end="0"/>
        <w:rPr/>
      </w:pPr>
      <w:r>
        <w:rPr>
          <w:b w:val="false"/>
          <w:bCs w:val="false"/>
          <w:i/>
          <w:iCs/>
        </w:rPr>
        <w:t>While, this case suggests that affiliates have a fiduciary duty to limited partners of a limited partnership, this only applies if the affiliate exercises direct control of the partnership’s interests.</w:t>
      </w:r>
      <w:r>
        <w:rPr>
          <w:b w:val="false"/>
          <w:bCs w:val="false"/>
        </w:rPr>
        <w:t xml:space="preserve">  Also, this fiduciary duty can be limited by the partnership agreement as a precautionary measure.  However, in the sale of an affiliate’s assets to a limited partnership, in which the parent corporation of the affiliate directly owns the general partner, the affiliate exercises no direct control of the partnership’s interests.  </w:t>
      </w:r>
    </w:p>
    <w:p>
      <w:pPr>
        <w:pStyle w:val="BodyText"/>
        <w:numPr>
          <w:ilvl w:val="0"/>
          <w:numId w:val="1"/>
        </w:numPr>
        <w:spacing w:lineRule="auto" w:line="480"/>
        <w:rPr/>
      </w:pPr>
      <w:r>
        <w:rPr/>
        <w:t>What is Sufficient Control?</w:t>
      </w:r>
    </w:p>
    <w:p>
      <w:pPr>
        <w:pStyle w:val="BodyText"/>
        <w:spacing w:lineRule="auto" w:line="480"/>
        <w:ind w:firstLine="720" w:end="0"/>
        <w:rPr>
          <w:b w:val="false"/>
          <w:bCs w:val="false"/>
        </w:rPr>
      </w:pPr>
      <w:r>
        <w:rPr>
          <w:b w:val="false"/>
          <w:bCs w:val="false"/>
        </w:rPr>
        <w:t>There is no case law that determines what amounts to sufficient control for an affiliate to have a fiduciary duty to the limited partnership, and more specifically, to the limited partner in the sale of assets.  However, the Delaware Revised Uniform Limited Partnership Act (RULPA) sets out certain things that will not deem the limited partner as participating in control of the limited partnership.  For example, consulting with and advising a general partner, attending a meeting of partners, voting on the sale, exchange, lease, mortgage, pledge or other transfer of all or substantially all of the assets of the limited partnership, or removing a general partner will not be considered participating in the control of the partnership.  Presumably, the Chancery Court would require proof of, at least, this much control of the partnership on the part of the affiliate, for the affiliate to be held to have a fiduciary duty to the partnership and the limited partners.</w:t>
      </w:r>
    </w:p>
    <w:p>
      <w:pPr>
        <w:pStyle w:val="BodyText"/>
        <w:spacing w:lineRule="auto" w:line="480"/>
        <w:ind w:firstLine="720" w:end="0"/>
        <w:rPr>
          <w:b w:val="false"/>
          <w:bCs w:val="false"/>
        </w:rPr>
      </w:pPr>
      <w:r>
        <w:rPr>
          <w:b w:val="false"/>
          <w:bCs w:val="false"/>
        </w:rPr>
      </w:r>
    </w:p>
    <w:p>
      <w:pPr>
        <w:pStyle w:val="BodyText"/>
        <w:numPr>
          <w:ilvl w:val="0"/>
          <w:numId w:val="1"/>
        </w:numPr>
        <w:spacing w:lineRule="auto" w:line="480"/>
        <w:rPr>
          <w:b w:val="false"/>
          <w:bCs w:val="false"/>
        </w:rPr>
      </w:pPr>
      <w:r>
        <w:rPr/>
        <w:t>Avoiding a Fiduciary Duty by Agreement</w:t>
      </w:r>
    </w:p>
    <w:p>
      <w:pPr>
        <w:pStyle w:val="BodyText"/>
        <w:spacing w:lineRule="auto" w:line="480"/>
        <w:ind w:firstLine="720" w:end="0"/>
        <w:rPr/>
      </w:pPr>
      <w:r>
        <w:rPr>
          <w:b w:val="false"/>
          <w:bCs w:val="false"/>
          <w:i/>
          <w:iCs/>
        </w:rPr>
        <w:t>In re Cencom Cable Income Partners, LP Litigation</w:t>
      </w:r>
      <w:r>
        <w:rPr>
          <w:b w:val="false"/>
          <w:bCs w:val="false"/>
        </w:rPr>
        <w:t xml:space="preserve"> was a case in which the limited partners brought suit because the general partners made a sale of certain partnership assets that may not have been in the partnership’s best interests.</w:t>
      </w:r>
      <w:r>
        <w:rPr>
          <w:rStyle w:val="FootnoteCharacters"/>
          <w:rStyle w:val="FootnoteReference"/>
          <w:b/>
          <w:bCs/>
        </w:rPr>
        <w:footnoteReference w:id="9"/>
      </w:r>
      <w:r>
        <w:rPr>
          <w:b w:val="false"/>
          <w:bCs w:val="false"/>
        </w:rPr>
        <w:t xml:space="preserve">  The limited partner claimed that the general partner stood on both sides of the transaction by monitoring the appraisal process and electing to purchase the assets.  </w:t>
      </w:r>
      <w:r>
        <w:rPr>
          <w:b w:val="false"/>
          <w:bCs w:val="false"/>
          <w:i/>
          <w:iCs/>
        </w:rPr>
        <w:t xml:space="preserve">However, the court recognized that the Delaware Revised Limited Partnership Act recognizes partners may modify fiduciary duties through contract.  The limited partnership agreement may authorize actions creating a “safe harbor” for the general partner under circumstances that might otherwise be questionable or impose a stricter standard of scrutiny than the norm. </w:t>
      </w:r>
      <w:r>
        <w:rPr>
          <w:b w:val="false"/>
          <w:bCs w:val="false"/>
        </w:rPr>
        <w:t xml:space="preserve"> The Court concluded in this case that the general partner had no fiduciary duty, in the sale of assets, per the partnership agreement. An affiliate, on the other hand, would not have this type of involvement with the general partner, but if the general partner did, </w:t>
      </w:r>
      <w:r>
        <w:rPr>
          <w:b w:val="false"/>
          <w:bCs w:val="false"/>
          <w:i/>
          <w:iCs/>
        </w:rPr>
        <w:t>this case suggests that a partnership agreement may contract around any rules and limit any fiduciary duties it might have to the limited partners, including disclosure of valuation assessments for a sale of the same assets to a third party, thus protecting the general partners, directors, and affiliates.</w:t>
      </w:r>
      <w:r>
        <w:rPr>
          <w:b w:val="false"/>
          <w:bCs w:val="false"/>
        </w:rPr>
        <w:t xml:space="preserve"> </w:t>
      </w:r>
    </w:p>
    <w:p>
      <w:pPr>
        <w:pStyle w:val="BodyText"/>
        <w:spacing w:lineRule="auto" w:line="480"/>
        <w:rPr/>
      </w:pPr>
      <w:r>
        <w:rPr>
          <w:b w:val="false"/>
          <w:bCs w:val="false"/>
        </w:rPr>
        <w:tab/>
      </w:r>
      <w:r>
        <w:rPr>
          <w:b w:val="false"/>
          <w:bCs w:val="false"/>
          <w:i/>
          <w:iCs/>
        </w:rPr>
        <w:t>Wallace</w:t>
      </w:r>
      <w:r>
        <w:rPr>
          <w:b w:val="false"/>
          <w:bCs w:val="false"/>
        </w:rPr>
        <w:t xml:space="preserve"> reiterates that the limited partnership agreement can limit the general partner of a Delaware limited partnership and the directors of a corporate General Partner’s fiduciary duty to manage the partnership in the partnership’s interests and the interests of the limited partners.</w:t>
      </w:r>
      <w:r>
        <w:rPr>
          <w:rStyle w:val="FootnoteCharacters"/>
          <w:rStyle w:val="FootnoteReference"/>
          <w:b/>
          <w:bCs/>
        </w:rPr>
        <w:footnoteReference w:id="10"/>
      </w:r>
      <w:r>
        <w:rPr>
          <w:b w:val="false"/>
          <w:bCs w:val="false"/>
        </w:rPr>
        <w:t xml:space="preserve">  Therefore, any fiduciary obligation that a general partner, affiliate or corporate director may have to limited partners can be deleted by providing that the affiliate or corporate director has </w:t>
      </w:r>
      <w:r>
        <w:rPr>
          <w:b w:val="false"/>
          <w:bCs w:val="false"/>
          <w:i/>
          <w:iCs/>
        </w:rPr>
        <w:t xml:space="preserve">no fiduciary duties to limited partners in the limited partnership.  </w:t>
      </w:r>
    </w:p>
    <w:p>
      <w:pPr>
        <w:pStyle w:val="Heading1"/>
        <w:ind w:hanging="0" w:start="0"/>
        <w:rPr/>
      </w:pPr>
      <w:r>
        <w:rPr/>
        <w:t>Conclusion</w:t>
      </w:r>
    </w:p>
    <w:p>
      <w:pPr>
        <w:pStyle w:val="Normal"/>
        <w:ind w:start="60" w:end="0"/>
        <w:rPr>
          <w:b/>
          <w:bCs/>
        </w:rPr>
      </w:pPr>
      <w:r>
        <w:rPr>
          <w:b/>
          <w:bCs/>
        </w:rPr>
      </w:r>
    </w:p>
    <w:p>
      <w:pPr>
        <w:pStyle w:val="Normal"/>
        <w:spacing w:lineRule="auto" w:line="480"/>
        <w:ind w:firstLine="420" w:end="0"/>
        <w:jc w:val="both"/>
        <w:rPr/>
      </w:pPr>
      <w:r>
        <w:rPr/>
        <w:t xml:space="preserve"> </w:t>
      </w:r>
      <w:r>
        <w:rPr/>
        <w:tab/>
        <w:t xml:space="preserve">In </w:t>
      </w:r>
      <w:r>
        <w:rPr>
          <w:i/>
          <w:iCs/>
        </w:rPr>
        <w:t>In re USACafes, LP Litigation</w:t>
      </w:r>
      <w:r>
        <w:rPr/>
        <w:t>, the limited partners claim was that the sale of the partnership assets were at a low price, favorable to the third party corporation, because the directors of the corporate general partner received substantial side payments to induce the general partner to sell the partnership assets for less than the price that a fair process would have yielded.  Because the Chancery Court found no previous precedent, the court looked to trust law.  In determining the scope of that fiduciary duty, the court determined that a general partner does have a fiduciary duty to a controlling shareholder, as well as, directors of the general partner who more directly than a controlling shareholder, are in control of the partnership’s property.  This suggests that if, in fact, a controlling</w:t>
      </w:r>
      <w:r>
        <w:rPr>
          <w:b/>
          <w:bCs/>
        </w:rPr>
        <w:t xml:space="preserve"> </w:t>
      </w:r>
      <w:r>
        <w:rPr/>
        <w:t>shareholder is considered to have a fiduciary duty to limited partners, that an affiliate might also have some fiduciary duties.  On the other hand, an affiliate has no real control over the assets of the limited partnership, the managing general partner does.  Additionally, this case is distinguishable because it concerned the sell of partnership assets and in this case, the breach resulted from inducing the corporate general partner to sell assets to the third party by side payments. This flavor of self-dealing probably had some influence on the Delaware court’s decision.</w:t>
      </w:r>
      <w:r>
        <w:rPr>
          <w:b/>
          <w:bCs/>
        </w:rPr>
        <w:t xml:space="preserve">  </w:t>
      </w:r>
    </w:p>
    <w:p>
      <w:pPr>
        <w:pStyle w:val="BodyText"/>
        <w:spacing w:lineRule="auto" w:line="480"/>
        <w:ind w:firstLine="720" w:end="0"/>
        <w:rPr>
          <w:b w:val="false"/>
          <w:bCs w:val="false"/>
        </w:rPr>
      </w:pPr>
      <w:r>
        <w:rPr>
          <w:b w:val="false"/>
          <w:bCs w:val="false"/>
        </w:rPr>
        <w:t>The court also suggested that the use of confidential information by a director concerning the partnership’s business not yet known by the board of the general partner, while it may not be a breach of loyalty or care by the general partner itself, there may be director liability to the partnership.  If a corporate director of a general partner has a duty to disclose confidential information to a limited partner, why shouldn’t an affiliate?  On the other hand, an affiliate is not directly involved in the general partnership’s business, and thus wouldn’t have enough control over the partnership’s interest.</w:t>
      </w:r>
    </w:p>
    <w:p>
      <w:pPr>
        <w:pStyle w:val="Normal"/>
        <w:spacing w:lineRule="auto" w:line="480"/>
        <w:ind w:firstLine="720" w:end="0"/>
        <w:jc w:val="both"/>
        <w:rPr/>
      </w:pPr>
      <w:r>
        <w:rPr>
          <w:i/>
          <w:iCs/>
        </w:rPr>
        <w:t>Wallace v. Wood</w:t>
      </w:r>
      <w:r>
        <w:rPr/>
        <w:t xml:space="preserve"> extended </w:t>
      </w:r>
      <w:r>
        <w:rPr>
          <w:i/>
          <w:iCs/>
        </w:rPr>
        <w:t>In re USACafes</w:t>
      </w:r>
      <w:r>
        <w:rPr/>
        <w:t xml:space="preserve"> when limited partners alleged that officers, affiliates and parents of the general partners of the limited partnership personally caused the limited partners to enter into self-interested transactions.  The Delaware Chancery court concluded that officers, affiliates and parents of a general partner </w:t>
      </w:r>
      <w:r>
        <w:rPr>
          <w:b/>
          <w:bCs/>
        </w:rPr>
        <w:t>may</w:t>
      </w:r>
      <w:r>
        <w:rPr/>
        <w:t xml:space="preserve"> owe fiduciary duties to limited partners if those entities control the partnership’s property.  However, the court has not yet determined whether there was a breach of fiduciary duty on the part of the corporate directors, general partner, and affiliates.</w:t>
      </w:r>
    </w:p>
    <w:p>
      <w:pPr>
        <w:pStyle w:val="BodyTextIndent"/>
        <w:ind w:firstLine="720" w:start="0" w:end="0"/>
        <w:rPr/>
      </w:pPr>
      <w:r>
        <w:rPr/>
        <w:t>While, there is no case law on what is sufficient control by an affiliate over a limited partnership, The Delaware Revised Uniform Limited Partnership Act (RULPA) has made it harder for limited partners to be held liable for exercise of control over a limited partnership by enumerating the following as activities that will not be sufficient for control of the partnership: 1) consulting with or advising a general partner, 2) voting on the sale, exchange lease, mortgage, pledge or other transfer of all or substantially all of the assets of the limited partnership, or removing a general partner, or 3) attending a meeting of partners.  The Delaware Uniform Limited Partnership Act sets out the “control test plus” which requires that in order for a limited partner to be liable to third parties the limited partner must have participated in control and the third party must have “reasonably believed, based on the limited partner’s conduct, that the limited partner is a general partner.”  Since there is no case law on the subject, at least this type of control would probably be necessary for an affiliate to have some fiduciary duties to the limited partners in a limited partnership.</w:t>
      </w:r>
    </w:p>
    <w:p>
      <w:pPr>
        <w:pStyle w:val="BodyTextIndent"/>
        <w:tabs>
          <w:tab w:val="clear" w:pos="720"/>
          <w:tab w:val="left" w:pos="0" w:leader="none"/>
        </w:tabs>
        <w:ind w:start="0" w:end="0"/>
        <w:rPr/>
      </w:pPr>
      <w:r>
        <w:rPr/>
        <w:t xml:space="preserve"> </w:t>
      </w:r>
      <w:r>
        <w:rPr/>
        <w:tab/>
        <w:t>An affiliate could avoid any chance of owing these fiduciary obligations to limited partners in a limited partnership by setting forth those limitations in the partnership agreement or amending the partnership agreement with those limitations on fiduciary obligations.</w:t>
      </w:r>
      <w:r>
        <w:rPr>
          <w:rStyle w:val="FootnoteCharacters"/>
          <w:rStyle w:val="FootnoteReference"/>
        </w:rPr>
        <w:footnoteReference w:id="11"/>
      </w:r>
      <w:r>
        <w:rPr/>
        <w:t xml:space="preserve">  </w:t>
      </w:r>
    </w:p>
    <w:p>
      <w:pPr>
        <w:pStyle w:val="Normal"/>
        <w:spacing w:lineRule="auto" w:line="480"/>
        <w:jc w:val="both"/>
        <w:rPr/>
      </w:pPr>
      <w:r>
        <w:rPr/>
        <w:tab/>
        <w:t xml:space="preserve"> </w:t>
      </w:r>
      <w:r>
        <w:rPr>
          <w:i/>
          <w:iCs/>
        </w:rPr>
        <w:t>Wallace</w:t>
      </w:r>
      <w:r>
        <w:rPr/>
        <w:t xml:space="preserve"> reiterates that the limited partnership agreement can limit the general partner of a Delaware limited partnership and the directors of a corporate General Partner’s fiduciary duty to manage the partnership in the partnership’s interests and the interests of the limited partners.</w:t>
      </w:r>
      <w:r>
        <w:rPr>
          <w:rStyle w:val="FootnoteCharacters"/>
          <w:rStyle w:val="FootnoteReference"/>
        </w:rPr>
        <w:footnoteReference w:id="12"/>
      </w:r>
      <w:r>
        <w:rPr/>
        <w:t xml:space="preserve">  Therefore, any fiduciary obligation that a general partner, affiliate or corporate director may have to limited partners can be deleted by providing that the affiliate or corporate director has </w:t>
      </w:r>
      <w:r>
        <w:rPr>
          <w:i/>
          <w:iCs/>
        </w:rPr>
        <w:t xml:space="preserve">no fiduciary duties to limited partners in the limited partnership.  </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fldChar w:fldCharType="begin"/>
    </w:r>
    <w:r>
      <w:rPr/>
      <w:instrText xml:space="preserve"> FILENAME \p </w:instrText>
    </w:r>
    <w:r>
      <w:rPr/>
      <w:fldChar w:fldCharType="separate"/>
    </w:r>
    <w:r>
      <w:rPr/>
      <w:t>/mnt/main-storage/datasets/enron-docs/doc/Sale_of_Assets.doc</w:t>
    </w:r>
    <w:r>
      <w:rPr/>
      <w:fldChar w:fldCharType="end"/>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Re US Cafés, L.P. Litigation, 600 A.2d 46, 1991.</w:t>
      </w:r>
    </w:p>
  </w:footnote>
  <w:footnote w:id="3">
    <w:p>
      <w:pPr>
        <w:pStyle w:val="FootnoteText"/>
        <w:rPr/>
      </w:pPr>
      <w:r>
        <w:rPr>
          <w:rStyle w:val="FootnoteCharacters"/>
        </w:rPr>
        <w:footnoteRef/>
      </w:r>
      <w:r>
        <w:rPr/>
        <w:t xml:space="preserve"> </w:t>
      </w:r>
      <w:r>
        <w:rPr/>
        <w:t>Id. at 48.</w:t>
      </w:r>
    </w:p>
  </w:footnote>
  <w:footnote w:id="4">
    <w:p>
      <w:pPr>
        <w:pStyle w:val="FootnoteText"/>
        <w:rPr/>
      </w:pPr>
      <w:r>
        <w:rPr>
          <w:rStyle w:val="FootnoteCharacters"/>
        </w:rPr>
        <w:footnoteRef/>
      </w:r>
      <w:r>
        <w:rPr/>
        <w:t xml:space="preserve"> </w:t>
      </w:r>
      <w:r>
        <w:rPr/>
        <w:t>Id. at 49.</w:t>
      </w:r>
    </w:p>
  </w:footnote>
  <w:footnote w:id="5">
    <w:p>
      <w:pPr>
        <w:pStyle w:val="FootnoteText"/>
        <w:rPr/>
      </w:pPr>
      <w:r>
        <w:rPr>
          <w:rStyle w:val="FootnoteCharacters"/>
        </w:rPr>
        <w:footnoteRef/>
      </w:r>
      <w:r>
        <w:rPr/>
        <w:t xml:space="preserve"> </w:t>
      </w:r>
      <w:r>
        <w:rPr/>
        <w:t xml:space="preserve">Id. </w:t>
      </w:r>
    </w:p>
  </w:footnote>
  <w:footnote w:id="6">
    <w:p>
      <w:pPr>
        <w:pStyle w:val="FootnoteText"/>
        <w:rPr/>
      </w:pPr>
      <w:r>
        <w:rPr>
          <w:rStyle w:val="FootnoteCharacters"/>
        </w:rPr>
        <w:footnoteRef/>
      </w:r>
      <w:r>
        <w:rPr/>
        <w:t xml:space="preserve"> </w:t>
      </w:r>
      <w:r>
        <w:rPr/>
        <w:t xml:space="preserve">Id. </w:t>
      </w:r>
    </w:p>
  </w:footnote>
  <w:footnote w:id="7">
    <w:p>
      <w:pPr>
        <w:pStyle w:val="FootnoteText"/>
        <w:rPr/>
      </w:pPr>
      <w:r>
        <w:rPr>
          <w:rStyle w:val="FootnoteCharacters"/>
        </w:rPr>
        <w:footnoteRef/>
      </w:r>
      <w:r>
        <w:rPr/>
        <w:t xml:space="preserve"> </w:t>
      </w:r>
      <w:r>
        <w:rPr/>
        <w:t>Id.</w:t>
      </w:r>
    </w:p>
  </w:footnote>
  <w:footnote w:id="8">
    <w:p>
      <w:pPr>
        <w:pStyle w:val="FootnoteText"/>
        <w:rPr/>
      </w:pPr>
      <w:r>
        <w:rPr>
          <w:rStyle w:val="FootnoteCharacters"/>
        </w:rPr>
        <w:footnoteRef/>
      </w:r>
      <w:r>
        <w:rPr/>
        <w:t xml:space="preserve"> </w:t>
      </w:r>
      <w:r>
        <w:rPr/>
        <w:t>Wallace v. Wood, 1999 WL 893577,4.</w:t>
      </w:r>
    </w:p>
  </w:footnote>
  <w:footnote w:id="9">
    <w:p>
      <w:pPr>
        <w:pStyle w:val="FootnoteText"/>
        <w:rPr/>
      </w:pPr>
      <w:r>
        <w:rPr>
          <w:rStyle w:val="FootnoteCharacters"/>
        </w:rPr>
        <w:footnoteRef/>
      </w:r>
      <w:r>
        <w:rPr/>
        <w:t xml:space="preserve"> </w:t>
      </w:r>
      <w:r>
        <w:rPr/>
        <w:t>In re Cencom Cable Income Partners, L.P. Litigation, 1996 WL 74726.</w:t>
      </w:r>
    </w:p>
  </w:footnote>
  <w:footnote w:id="10">
    <w:p>
      <w:pPr>
        <w:pStyle w:val="FootnoteText"/>
        <w:rPr/>
      </w:pPr>
      <w:r>
        <w:rPr>
          <w:rStyle w:val="FootnoteCharacters"/>
        </w:rPr>
        <w:footnoteRef/>
      </w:r>
      <w:r>
        <w:rPr/>
        <w:t xml:space="preserve"> </w:t>
      </w:r>
      <w:r>
        <w:rPr/>
        <w:t>Wallace v. Wood, 1999 WL 893577,4.</w:t>
      </w:r>
    </w:p>
  </w:footnote>
  <w:footnote w:id="11">
    <w:p>
      <w:pPr>
        <w:pStyle w:val="FootnoteText"/>
        <w:rPr/>
      </w:pPr>
      <w:r>
        <w:rPr>
          <w:rStyle w:val="FootnoteCharacters"/>
        </w:rPr>
        <w:footnoteRef/>
      </w:r>
      <w:r>
        <w:rPr/>
        <w:t xml:space="preserve"> </w:t>
      </w:r>
      <w:r>
        <w:rPr/>
        <w:t>In re Cencom Cable Income Partners, LP Litigation, 1996 WL 74726,4; Wallace, 1999 WL 893577,4.</w:t>
      </w:r>
    </w:p>
  </w:footnote>
  <w:footnote w:id="12">
    <w:p>
      <w:pPr>
        <w:pStyle w:val="FootnoteText"/>
        <w:rPr/>
      </w:pPr>
      <w:r>
        <w:rPr>
          <w:rStyle w:val="FootnoteCharacters"/>
        </w:rPr>
        <w:footnoteRef/>
      </w:r>
      <w:r>
        <w:rPr/>
        <w:t xml:space="preserve"> </w:t>
      </w:r>
      <w:r>
        <w:rPr/>
        <w:t>Wallace v. Wood, 1999 WL 893577,4.</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Letter"/>
      <w:lvlText w:val="%1."/>
      <w:lvlJc w:val="start"/>
      <w:pPr>
        <w:tabs>
          <w:tab w:val="num" w:pos="420"/>
        </w:tabs>
        <w:ind w:start="420" w:hanging="360"/>
      </w:pPr>
      <w:rPr/>
    </w:lvl>
    <w:lvl w:ilvl="1">
      <w:start w:val="1"/>
      <w:numFmt w:val="lowerLetter"/>
      <w:lvlText w:val="%2."/>
      <w:lvlJc w:val="start"/>
      <w:pPr>
        <w:tabs>
          <w:tab w:val="num" w:pos="1140"/>
        </w:tabs>
        <w:ind w:start="1140" w:hanging="360"/>
      </w:pPr>
    </w:lvl>
    <w:lvl w:ilvl="2">
      <w:start w:val="1"/>
      <w:numFmt w:val="lowerRoman"/>
      <w:lvlText w:val="%3."/>
      <w:lvlJc w:val="end"/>
      <w:pPr>
        <w:tabs>
          <w:tab w:val="num" w:pos="1860"/>
        </w:tabs>
        <w:ind w:start="1860" w:hanging="180"/>
      </w:pPr>
    </w:lvl>
    <w:lvl w:ilvl="3">
      <w:start w:val="1"/>
      <w:numFmt w:val="decimal"/>
      <w:lvlText w:val="%4."/>
      <w:lvlJc w:val="start"/>
      <w:pPr>
        <w:tabs>
          <w:tab w:val="num" w:pos="2580"/>
        </w:tabs>
        <w:ind w:start="2580" w:hanging="360"/>
      </w:pPr>
    </w:lvl>
    <w:lvl w:ilvl="4">
      <w:start w:val="1"/>
      <w:numFmt w:val="lowerLetter"/>
      <w:lvlText w:val="%5."/>
      <w:lvlJc w:val="start"/>
      <w:pPr>
        <w:tabs>
          <w:tab w:val="num" w:pos="3300"/>
        </w:tabs>
        <w:ind w:start="3300" w:hanging="360"/>
      </w:pPr>
    </w:lvl>
    <w:lvl w:ilvl="5">
      <w:start w:val="1"/>
      <w:numFmt w:val="lowerRoman"/>
      <w:lvlText w:val="%6."/>
      <w:lvlJc w:val="end"/>
      <w:pPr>
        <w:tabs>
          <w:tab w:val="num" w:pos="4020"/>
        </w:tabs>
        <w:ind w:start="4020" w:hanging="180"/>
      </w:pPr>
    </w:lvl>
    <w:lvl w:ilvl="6">
      <w:start w:val="1"/>
      <w:numFmt w:val="decimal"/>
      <w:lvlText w:val="%7."/>
      <w:lvlJc w:val="start"/>
      <w:pPr>
        <w:tabs>
          <w:tab w:val="num" w:pos="4740"/>
        </w:tabs>
        <w:ind w:start="4740" w:hanging="360"/>
      </w:pPr>
    </w:lvl>
    <w:lvl w:ilvl="7">
      <w:start w:val="1"/>
      <w:numFmt w:val="lowerLetter"/>
      <w:lvlText w:val="%8."/>
      <w:lvlJc w:val="start"/>
      <w:pPr>
        <w:tabs>
          <w:tab w:val="num" w:pos="5460"/>
        </w:tabs>
        <w:ind w:start="5460" w:hanging="360"/>
      </w:pPr>
    </w:lvl>
    <w:lvl w:ilvl="8">
      <w:start w:val="1"/>
      <w:numFmt w:val="lowerRoman"/>
      <w:lvlText w:val="%9."/>
      <w:lvlJc w:val="end"/>
      <w:pPr>
        <w:tabs>
          <w:tab w:val="num" w:pos="6180"/>
        </w:tabs>
        <w:ind w:start="6180" w:hanging="18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0" w:start="420" w:end="0"/>
      <w:jc w:val="both"/>
    </w:pPr>
    <w:rPr/>
  </w:style>
  <w:style w:type="paragraph" w:styleId="BodyText2">
    <w:name w:val="Body Text 2"/>
    <w:basedOn w:val="Normal"/>
    <w:qFormat/>
    <w:pPr>
      <w:spacing w:lineRule="auto" w:line="480"/>
      <w:jc w:val="both"/>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2000-05-22T16:32:00Z</dcterms:created>
  <dc:creator>wnealy</dc:creator>
  <dc:description/>
  <dc:language>en-CA</dc:language>
  <cp:lastModifiedBy>wnealy</cp:lastModifiedBy>
  <cp:lastPrinted>2000-05-24T10:36:00Z</cp:lastPrinted>
  <dcterms:modified xsi:type="dcterms:W3CDTF">2000-05-24T13:36:00Z</dcterms:modified>
  <cp:revision>8</cp:revision>
  <dc:subject/>
  <dc:title>To: </dc:title>
</cp:coreProperties>
</file>