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tabs>
          <w:tab w:val="clear" w:pos="720"/>
          <w:tab w:val="left" w:pos="3240" w:leader="none"/>
          <w:tab w:val="left" w:pos="5760" w:leader="none"/>
          <w:tab w:val="left" w:pos="7650" w:leader="none"/>
        </w:tabs>
        <w:rPr>
          <w:spacing w:val="-3"/>
          <w:lang w:val="en-CA"/>
        </w:rPr>
      </w:pPr>
      <w:r>
        <w:rPr>
          <w:spacing w:val="-3"/>
          <w:lang w:val="en-CA"/>
        </w:rPr>
        <w:object w:dxaOrig="4068" w:dyaOrig="982">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7.2pt;margin-top:0pt;width:203.4pt;height:49.1pt;mso-wrap-distance-left:9.05pt;mso-wrap-distance-right:9.05pt;mso-position-horizontal-relative:text;mso-position-vertical-relative:text" filled="f" o:ole="">
            <v:imagedata r:id="rId3" o:title=""/>
            <w10:wrap type="topAndBottom"/>
          </v:shape>
          <o:OLEObject Type="Embed" ProgID="" ShapeID="ole_rId2" DrawAspect="Content" ObjectID="_1693251872" r:id="rId2"/>
        </w:object>
      </w:r>
    </w:p>
    <w:p>
      <w:pPr>
        <w:pStyle w:val="MessageHeader"/>
        <w:spacing w:lineRule="auto" w:line="360"/>
        <w:ind w:firstLine="360" w:start="6480" w:end="-86"/>
        <w:rPr/>
      </w:pPr>
      <w:r>
        <w:rPr>
          <w:rStyle w:val="MessageHeaderLabel"/>
          <w:spacing w:val="-20"/>
          <w:sz w:val="24"/>
        </w:rPr>
        <w:t>INTERNAL MEMORANDUM</w:t>
      </w:r>
    </w:p>
    <w:p>
      <w:pPr>
        <w:pStyle w:val="MessageHeader"/>
        <w:tabs>
          <w:tab w:val="clear" w:pos="720"/>
          <w:tab w:val="left" w:pos="1710" w:leader="none"/>
          <w:tab w:val="left" w:pos="6840" w:leader="none"/>
          <w:tab w:val="left" w:pos="7740" w:leader="none"/>
        </w:tabs>
        <w:spacing w:lineRule="auto" w:line="360"/>
        <w:ind w:hanging="0" w:start="720" w:end="-86"/>
        <w:rPr>
          <w:rFonts w:ascii="Arial" w:hAnsi="Arial" w:cs="Arial"/>
          <w:sz w:val="24"/>
        </w:rPr>
      </w:pPr>
      <w:r>
        <w:rPr>
          <w:rFonts w:cs="Arial" w:ascii="Arial" w:hAnsi="Arial"/>
          <w:sz w:val="24"/>
        </w:rPr>
        <w:tab/>
        <w:tab/>
      </w:r>
      <w:r>
        <w:rPr>
          <w:rStyle w:val="MessageHeaderLabel"/>
          <w:sz w:val="24"/>
        </w:rPr>
        <w:t>Date:</w:t>
      </w:r>
      <w:r>
        <w:rPr>
          <w:rFonts w:cs="Arial" w:ascii="Arial" w:hAnsi="Arial"/>
          <w:sz w:val="24"/>
        </w:rPr>
        <w:tab/>
      </w:r>
      <w:r>
        <w:rPr>
          <w:rFonts w:cs="Arial" w:ascii="Arial" w:hAnsi="Arial"/>
          <w:sz w:val="24"/>
        </w:rPr>
        <w:fldChar w:fldCharType="begin"/>
      </w:r>
      <w:r>
        <w:rPr>
          <w:sz w:val="24"/>
          <w:rFonts w:cs="Arial" w:ascii="Arial" w:hAnsi="Arial"/>
        </w:rPr>
        <w:instrText xml:space="preserve"> DATE \@"MMMM\ d', 'yyyy" </w:instrText>
      </w:r>
      <w:r>
        <w:rPr>
          <w:sz w:val="24"/>
          <w:rFonts w:cs="Arial" w:ascii="Arial" w:hAnsi="Arial"/>
        </w:rPr>
        <w:fldChar w:fldCharType="separate"/>
      </w:r>
      <w:r>
        <w:rPr>
          <w:sz w:val="24"/>
          <w:rFonts w:cs="Arial" w:ascii="Arial" w:hAnsi="Arial"/>
        </w:rPr>
        <w:t>September 28, 2025</w:t>
      </w:r>
      <w:r>
        <w:rPr>
          <w:sz w:val="24"/>
          <w:rFonts w:cs="Arial" w:ascii="Arial" w:hAnsi="Arial"/>
        </w:rPr>
        <w:fldChar w:fldCharType="end"/>
      </w:r>
    </w:p>
    <w:p>
      <w:pPr>
        <w:pStyle w:val="MessageHeader"/>
        <w:tabs>
          <w:tab w:val="clear" w:pos="720"/>
          <w:tab w:val="left" w:pos="1710" w:leader="none"/>
          <w:tab w:val="left" w:pos="6840" w:leader="none"/>
          <w:tab w:val="left" w:pos="7740" w:leader="none"/>
        </w:tabs>
        <w:spacing w:lineRule="auto" w:line="360"/>
        <w:ind w:start="1440" w:end="-86"/>
        <w:rPr/>
      </w:pPr>
      <w:r>
        <w:rPr>
          <w:rFonts w:cs="Arial" w:ascii="Arial" w:hAnsi="Arial"/>
          <w:sz w:val="24"/>
        </w:rPr>
        <w:tab/>
        <w:tab/>
        <w:tab/>
      </w:r>
      <w:r>
        <w:rPr>
          <w:rStyle w:val="MessageHeaderLabel"/>
          <w:sz w:val="24"/>
        </w:rPr>
        <w:t>Ref:</w:t>
        <w:tab/>
      </w:r>
      <w:r>
        <w:rPr>
          <w:rStyle w:val="MessageHeaderLabel"/>
          <w:b w:val="false"/>
          <w:sz w:val="24"/>
        </w:rPr>
        <w:t>dmc</w:t>
      </w:r>
      <w:r>
        <w:rPr>
          <w:rFonts w:cs="Arial" w:ascii="Arial" w:hAnsi="Arial"/>
          <w:sz w:val="24"/>
        </w:rPr>
        <w:tab/>
      </w:r>
    </w:p>
    <w:p>
      <w:pPr>
        <w:pStyle w:val="MessageHeader"/>
        <w:tabs>
          <w:tab w:val="clear" w:pos="720"/>
          <w:tab w:val="left" w:pos="1890" w:leader="none"/>
          <w:tab w:val="left" w:pos="6840" w:leader="none"/>
          <w:tab w:val="left" w:pos="7740" w:leader="none"/>
        </w:tabs>
        <w:spacing w:lineRule="auto" w:line="360"/>
        <w:ind w:start="1440" w:end="-86"/>
        <w:rPr/>
      </w:pPr>
      <w:r>
        <w:rPr>
          <w:rStyle w:val="MessageHeaderLabel"/>
          <w:spacing w:val="-20"/>
          <w:sz w:val="24"/>
        </w:rPr>
        <w:t>T</w:t>
      </w:r>
      <w:r>
        <w:rPr>
          <w:rStyle w:val="MessageHeaderLabel"/>
          <w:sz w:val="24"/>
        </w:rPr>
        <w:t>o:</w:t>
        <w:tab/>
        <w:tab/>
      </w:r>
      <w:r>
        <w:rPr>
          <w:rFonts w:cs="Arial" w:ascii="Arial" w:hAnsi="Arial"/>
          <w:sz w:val="24"/>
        </w:rPr>
        <w:t>Allan D. Keel</w:t>
      </w:r>
    </w:p>
    <w:p>
      <w:pPr>
        <w:pStyle w:val="MessageHeader"/>
        <w:pBdr>
          <w:bottom w:val="double" w:sz="6" w:space="1" w:color="000000"/>
        </w:pBdr>
        <w:tabs>
          <w:tab w:val="clear" w:pos="720"/>
          <w:tab w:val="left" w:pos="1890" w:leader="none"/>
        </w:tabs>
        <w:spacing w:lineRule="auto" w:line="360"/>
        <w:ind w:hanging="0" w:start="720" w:end="-86"/>
        <w:rPr>
          <w:rFonts w:ascii="Arial" w:hAnsi="Arial" w:cs="Arial"/>
          <w:b/>
          <w:sz w:val="24"/>
        </w:rPr>
      </w:pPr>
      <w:r>
        <w:rPr>
          <w:rStyle w:val="MessageHeaderLabel"/>
          <w:sz w:val="24"/>
        </w:rPr>
        <w:t>From:</w:t>
        <w:tab/>
      </w:r>
      <w:r>
        <w:rPr>
          <w:rFonts w:cs="Arial" w:ascii="Arial" w:hAnsi="Arial"/>
          <w:sz w:val="24"/>
        </w:rPr>
        <w:t>Richard R. Clark</w:t>
      </w:r>
    </w:p>
    <w:p>
      <w:pPr>
        <w:pStyle w:val="MessageHeader"/>
        <w:tabs>
          <w:tab w:val="clear" w:pos="720"/>
          <w:tab w:val="left" w:pos="1890" w:leader="none"/>
        </w:tabs>
        <w:spacing w:lineRule="auto" w:line="360"/>
        <w:ind w:hanging="0" w:start="720" w:end="-86"/>
        <w:rPr/>
      </w:pPr>
      <w:r>
        <w:rPr>
          <w:rStyle w:val="MessageHeaderLabel"/>
          <w:sz w:val="24"/>
        </w:rPr>
        <w:t>Subject:</w:t>
        <w:tab/>
      </w:r>
      <w:r>
        <w:rPr>
          <w:rFonts w:cs="Arial" w:ascii="Arial" w:hAnsi="Arial"/>
          <w:sz w:val="24"/>
        </w:rPr>
        <w:t>Sale of Aconcagua Interest</w:t>
      </w:r>
    </w:p>
    <w:p>
      <w:pPr>
        <w:pStyle w:val="BodyText"/>
        <w:ind w:start="720" w:end="0"/>
        <w:rPr>
          <w:rFonts w:ascii="Arial" w:hAnsi="Arial" w:cs="Arial"/>
          <w:sz w:val="24"/>
        </w:rPr>
      </w:pPr>
      <w:r>
        <w:rPr>
          <w:rFonts w:cs="Arial" w:ascii="Arial" w:hAnsi="Arial"/>
          <w:sz w:val="24"/>
        </w:rPr>
      </w:r>
    </w:p>
    <w:p>
      <w:pPr>
        <w:pStyle w:val="BodyText"/>
        <w:ind w:start="720" w:end="0"/>
        <w:rPr>
          <w:rFonts w:ascii="Arial" w:hAnsi="Arial" w:cs="Arial"/>
          <w:sz w:val="24"/>
        </w:rPr>
      </w:pPr>
      <w:r>
        <w:rPr>
          <w:rFonts w:cs="Arial" w:ascii="Arial" w:hAnsi="Arial"/>
          <w:sz w:val="24"/>
        </w:rPr>
      </w:r>
    </w:p>
    <w:p>
      <w:pPr>
        <w:pStyle w:val="Normal"/>
        <w:ind w:start="720" w:end="0"/>
        <w:jc w:val="both"/>
        <w:rPr>
          <w:rFonts w:ascii="Arial" w:hAnsi="Arial" w:cs="Arial"/>
          <w:sz w:val="24"/>
        </w:rPr>
      </w:pPr>
      <w:r>
        <w:rPr>
          <w:rFonts w:cs="Arial" w:ascii="Arial" w:hAnsi="Arial"/>
          <w:sz w:val="24"/>
        </w:rPr>
        <w:t>It is recommended Mariner accept Nippon Oil Exploration’s offer to purchase Mariner’s 25% Working Interest in the Mississippi Canyon 305 (Aconcagua) Field for a price of $51 million effective June 1, 2001.  Based on a $3.25/mcfg pricing premise, the purchase price yields a 22% IRR and a full cycle development cost of $1.68/mcfe to the buyer based on Mariner’s most likely reserves of 258 Bcf. The current Ryder Scott reserve estimates for the field are 130 Bcf proved, 110 Bcf probable, and 33 Bcf possible.  On a per unit basis for the Ryder Scott reserve levels, the proposed purchase price yields a $3.17/mcfe full development cost for proved only reserves and a $1.71/mcfe for proved plus probable reserves.  Using the Ryder Scott reserves the purchase price equates to a NPV10 of the value of the proved reserves plus one half the value of the probable reserves.</w:t>
      </w:r>
    </w:p>
    <w:p>
      <w:pPr>
        <w:pStyle w:val="Normal"/>
        <w:ind w:start="720" w:end="0"/>
        <w:jc w:val="both"/>
        <w:rPr>
          <w:rFonts w:ascii="Arial" w:hAnsi="Arial" w:cs="Arial"/>
          <w:sz w:val="24"/>
        </w:rPr>
      </w:pPr>
      <w:r>
        <w:rPr>
          <w:rFonts w:cs="Arial" w:ascii="Arial" w:hAnsi="Arial"/>
          <w:sz w:val="24"/>
        </w:rPr>
      </w:r>
    </w:p>
    <w:p>
      <w:pPr>
        <w:pStyle w:val="BodyTextIndent"/>
        <w:rPr/>
      </w:pPr>
      <w:r>
        <w:rPr/>
        <w:t xml:space="preserve">Nippon was the successful bidder out of a sales process involving 13 companies. Pioneer has a preferential right on one half of the interest and has elected to exercise their right.  </w:t>
      </w:r>
    </w:p>
    <w:p>
      <w:pPr>
        <w:pStyle w:val="Normal"/>
        <w:ind w:start="720" w:end="0"/>
        <w:jc w:val="both"/>
        <w:rPr>
          <w:rFonts w:ascii="Arial" w:hAnsi="Arial" w:cs="Arial"/>
          <w:sz w:val="24"/>
        </w:rPr>
      </w:pPr>
      <w:r>
        <w:rPr>
          <w:rFonts w:cs="Arial" w:ascii="Arial" w:hAnsi="Arial"/>
          <w:sz w:val="24"/>
        </w:rPr>
      </w:r>
    </w:p>
    <w:p>
      <w:pPr>
        <w:pStyle w:val="BodyText"/>
        <w:ind w:start="720" w:end="0"/>
        <w:jc w:val="both"/>
        <w:rPr>
          <w:rFonts w:ascii="Arial" w:hAnsi="Arial" w:cs="Arial"/>
          <w:sz w:val="24"/>
        </w:rPr>
      </w:pPr>
      <w:r>
        <w:rPr>
          <w:rFonts w:cs="Arial" w:ascii="Arial" w:hAnsi="Arial"/>
          <w:sz w:val="24"/>
        </w:rPr>
        <w:t>Mariner’s sunk costs through the effective date of the sale are $24 million; therefore, Mariners profit will be  $27 million on the project.  Mariner had projected in the 2001 budget that ½ of our interest would be sold for $20.1 million.  Based on the strong offer from Nippon we recommend selling our entire 25% working interest.  The sale will reduce our reliance on the borrowing base and allow us to focus our investments on operated projects with less mechanical risk.</w:t>
      </w:r>
    </w:p>
    <w:p>
      <w:pPr>
        <w:pStyle w:val="Normal"/>
        <w:ind w:start="720" w:end="0"/>
        <w:jc w:val="both"/>
        <w:rPr>
          <w:rFonts w:ascii="Arial" w:hAnsi="Arial" w:cs="Arial"/>
          <w:sz w:val="24"/>
        </w:rPr>
      </w:pPr>
      <w:r>
        <w:rPr>
          <w:rFonts w:cs="Arial" w:ascii="Arial" w:hAnsi="Arial"/>
          <w:sz w:val="24"/>
        </w:rPr>
        <w:t>We recommend your approval of this sale.</w:t>
      </w:r>
    </w:p>
    <w:p>
      <w:pPr>
        <w:pStyle w:val="Normal"/>
        <w:ind w:start="720" w:end="0"/>
        <w:jc w:val="both"/>
        <w:rPr>
          <w:rFonts w:ascii="Arial" w:hAnsi="Arial" w:cs="Arial"/>
          <w:sz w:val="24"/>
        </w:rPr>
      </w:pPr>
      <w:r>
        <w:rPr>
          <w:rFonts w:cs="Arial" w:ascii="Arial" w:hAnsi="Arial"/>
          <w:sz w:val="24"/>
        </w:rPr>
      </w:r>
    </w:p>
    <w:p>
      <w:pPr>
        <w:pStyle w:val="BodyText"/>
        <w:ind w:start="720" w:end="0"/>
        <w:rPr>
          <w:rFonts w:ascii="Arial" w:hAnsi="Arial" w:cs="Arial"/>
          <w:sz w:val="24"/>
        </w:rPr>
      </w:pPr>
      <w:r>
        <w:rPr>
          <w:rFonts w:cs="Arial" w:ascii="Arial" w:hAnsi="Arial"/>
          <w:sz w:val="24"/>
        </w:rPr>
      </w:r>
    </w:p>
    <w:p>
      <w:pPr>
        <w:pStyle w:val="BodyText"/>
        <w:ind w:start="720" w:end="0"/>
        <w:rPr>
          <w:rFonts w:ascii="Arial" w:hAnsi="Arial" w:cs="Arial"/>
          <w:sz w:val="24"/>
        </w:rPr>
      </w:pPr>
      <w:r>
        <w:rPr>
          <w:rFonts w:cs="Arial" w:ascii="Arial" w:hAnsi="Arial"/>
          <w:sz w:val="24"/>
        </w:rPr>
      </w:r>
    </w:p>
    <w:p>
      <w:pPr>
        <w:pStyle w:val="BodyText"/>
        <w:ind w:start="720" w:end="0"/>
        <w:rPr>
          <w:rFonts w:ascii="Arial" w:hAnsi="Arial" w:cs="Arial"/>
          <w:sz w:val="24"/>
        </w:rPr>
      </w:pPr>
      <w:r>
        <w:rPr>
          <w:rFonts w:cs="Arial" w:ascii="Arial" w:hAnsi="Arial"/>
          <w:sz w:val="24"/>
        </w:rPr>
      </w:r>
    </w:p>
    <w:p>
      <w:pPr>
        <w:pStyle w:val="BodyText"/>
        <w:ind w:start="720" w:end="0"/>
        <w:rPr>
          <w:rFonts w:ascii="Arial" w:hAnsi="Arial" w:cs="Arial"/>
          <w:sz w:val="24"/>
        </w:rPr>
      </w:pPr>
      <w:r>
        <w:rPr>
          <w:rFonts w:cs="Arial" w:ascii="Arial" w:hAnsi="Arial"/>
          <w:sz w:val="24"/>
        </w:rPr>
      </w:r>
    </w:p>
    <w:p>
      <w:pPr>
        <w:pStyle w:val="BodyText"/>
        <w:ind w:start="720" w:end="0"/>
        <w:rPr>
          <w:rFonts w:ascii="Arial" w:hAnsi="Arial" w:cs="Arial"/>
          <w:sz w:val="24"/>
        </w:rPr>
      </w:pPr>
      <w:r>
        <w:rPr>
          <w:rFonts w:cs="Arial" w:ascii="Arial" w:hAnsi="Arial"/>
          <w:sz w:val="24"/>
        </w:rPr>
      </w:r>
    </w:p>
    <w:p>
      <w:pPr>
        <w:pStyle w:val="BodyText"/>
        <w:ind w:start="720" w:end="0"/>
        <w:rPr>
          <w:rFonts w:ascii="Arial" w:hAnsi="Arial" w:cs="Arial"/>
          <w:sz w:val="28"/>
        </w:rPr>
      </w:pPr>
      <w:r>
        <w:rPr>
          <w:rFonts w:cs="Arial" w:ascii="Arial" w:hAnsi="Arial"/>
          <w:sz w:val="28"/>
        </w:rPr>
      </w:r>
    </w:p>
    <w:p>
      <w:pPr>
        <w:pStyle w:val="BodyText"/>
        <w:tabs>
          <w:tab w:val="clear" w:pos="720"/>
          <w:tab w:val="left" w:pos="3240" w:leader="none"/>
          <w:tab w:val="left" w:pos="4050" w:leader="none"/>
          <w:tab w:val="left" w:pos="6390" w:leader="none"/>
          <w:tab w:val="left" w:pos="6840" w:leader="none"/>
          <w:tab w:val="left" w:pos="7650" w:leader="none"/>
          <w:tab w:val="left" w:pos="8190" w:leader="none"/>
          <w:tab w:val="left" w:pos="8730" w:leader="none"/>
        </w:tabs>
        <w:ind w:start="810" w:end="0"/>
        <w:rPr>
          <w:rFonts w:ascii="Arial" w:hAnsi="Arial" w:cs="Arial"/>
          <w:b/>
          <w:sz w:val="18"/>
        </w:rPr>
      </w:pPr>
      <w:r>
        <w:rPr>
          <w:rFonts w:cs="Arial" w:ascii="Arial" w:hAnsi="Arial"/>
          <w:b/>
          <w:sz w:val="18"/>
        </w:rPr>
        <w:t>580 WestLake Park Blvd., Suite 1300    Houston, TX  77079-2643    Tel  (281) 584-5500    Fax  (281) 584-5555</w:t>
      </w:r>
    </w:p>
    <w:p>
      <w:pPr>
        <w:pStyle w:val="Normal"/>
        <w:rPr>
          <w:rFonts w:ascii="Arial" w:hAnsi="Arial" w:cs="Arial"/>
          <w:b/>
          <w:sz w:val="18"/>
        </w:rPr>
      </w:pPr>
      <w:r>
        <w:rPr>
          <w:rFonts w:cs="Arial" w:ascii="Arial" w:hAnsi="Arial"/>
          <w:b/>
          <w:sz w:val="18"/>
        </w:rPr>
      </w:r>
    </w:p>
    <w:sectPr>
      <w:type w:val="nextPage"/>
      <w:pgSz w:w="12240" w:h="15840"/>
      <w:pgMar w:left="720" w:right="144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MessageHeaderLabel">
    <w:name w:val="Message Header Label"/>
    <w:qFormat/>
    <w:rPr>
      <w:rFonts w:ascii="Arial" w:hAnsi="Arial" w:cs="Arial"/>
      <w:b/>
      <w:spacing w:val="-4"/>
      <w:position w:val="0"/>
      <w:sz w:val="18"/>
      <w:sz w:val="18"/>
      <w:vertAlign w:val="baselin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essageHeader">
    <w:name w:val="Message Header"/>
    <w:basedOn w:val="BodyText"/>
    <w:qFormat/>
    <w:pPr>
      <w:keepLines/>
      <w:spacing w:lineRule="atLeast" w:line="415" w:before="0" w:after="0"/>
      <w:ind w:hanging="720" w:start="1560" w:end="-360"/>
    </w:pPr>
    <w:rPr/>
  </w:style>
  <w:style w:type="paragraph" w:styleId="BodyTextIndent">
    <w:name w:val="Body Text Indent"/>
    <w:basedOn w:val="Normal"/>
    <w:pPr>
      <w:ind w:hanging="0" w:start="720" w:end="0"/>
      <w:jc w:val="both"/>
    </w:pPr>
    <w:rPr>
      <w:rFonts w:ascii="Arial" w:hAnsi="Arial" w:cs="Arial"/>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Memo</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2001-10-17T10:25:00Z</dcterms:created>
  <dc:creator>DCAGLE</dc:creator>
  <dc:description/>
  <dc:language>en-CA</dc:language>
  <cp:lastModifiedBy>DCAGLE</cp:lastModifiedBy>
  <cp:lastPrinted>2001-10-17T08:23:00Z</cp:lastPrinted>
  <dcterms:modified xsi:type="dcterms:W3CDTF">2001-10-17T10:58:00Z</dcterms:modified>
  <cp:revision>2</cp:revision>
  <dc:subject/>
  <dc:title> </dc:title>
</cp:coreProperties>
</file>