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rStyle w:val="LineNumber"/>
          <w:b/>
        </w:rPr>
        <w:t>DIRECT TESTIMONY OF WAYNE SAKARIAS</w:t>
      </w:r>
    </w:p>
    <w:p>
      <w:pPr>
        <w:pStyle w:val="BodyText"/>
        <w:jc w:val="center"/>
        <w:rPr>
          <w:rStyle w:val="LineNumber"/>
          <w:b/>
        </w:rPr>
      </w:pPr>
      <w:r>
        <w:rPr/>
      </w:r>
    </w:p>
    <w:p>
      <w:pPr>
        <w:pStyle w:val="Normal"/>
        <w:spacing w:lineRule="auto" w:line="480"/>
        <w:ind w:firstLine="720" w:end="0"/>
        <w:rPr/>
      </w:pPr>
      <w:r>
        <w:rPr>
          <w:rStyle w:val="LineNumber"/>
        </w:rPr>
        <w:t>I am Director – Fuel and Power Supply for SDG&amp;E.  The Fuel and Power Supply Department is responsible for obtaining electric supply and natural gas to meet the needs of SDG&amp;E’s bundled service customers.  This testimony describes the wholesale market energy prices that SDG&amp;E has had to pay since the effective date of the AB 265 6.5 cent per kWh rate cap, the resulting retail commodity rates for the same period, and SDG&amp;E’s most recent forecast of wholesale and retail energy prices for the next 5 years.  The forecast retail commodity price is used as an input to forecast the net undercollection in the Energy Rate Ceiling Revenue Shortfall Account (ERCRSA) over the next three years as described in Michael Schneider’s testimony.</w:t>
      </w:r>
    </w:p>
    <w:p>
      <w:pPr>
        <w:pStyle w:val="Normal"/>
        <w:spacing w:lineRule="auto" w:line="480"/>
        <w:ind w:firstLine="720" w:end="0"/>
        <w:rPr/>
      </w:pPr>
      <w:r>
        <w:rPr>
          <w:rStyle w:val="LineNumber"/>
        </w:rPr>
        <w:t>The table below shows SDG&amp;E’s average wholesale price for energy procured from the California Power Exchange (PX) day-ahead market since June 1, 2000.  In addition to the wholesale energy price, SDG&amp;E incurs additional charges such as ancillary services, etc. that are assessed on load purchased from the California grid.  SDG&amp;E’s wholesale energy price and these additional charges are reflected in its average retail commodity rate for bundled customers, which is also shown in the table below.</w:t>
      </w:r>
      <w:r>
        <w:rPr>
          <w:rStyle w:val="LineNumber"/>
          <w:rStyle w:val="FootnoteReference"/>
          <w:sz w:val="20"/>
          <w:vertAlign w:val="superscript"/>
        </w:rPr>
        <w:footnoteReference w:id="2"/>
      </w:r>
      <w:r>
        <w:rPr/>
        <w:t xml:space="preserve">  </w:t>
      </w:r>
    </w:p>
    <w:p>
      <w:pPr>
        <w:pStyle w:val="Normal"/>
        <w:spacing w:lineRule="auto" w:line="480"/>
        <w:ind w:firstLine="720" w:end="0"/>
        <w:rPr/>
      </w:pPr>
      <w:r>
        <w:rPr/>
        <w:t>///</w:t>
      </w:r>
    </w:p>
    <w:p>
      <w:pPr>
        <w:pStyle w:val="Normal"/>
        <w:spacing w:lineRule="auto" w:line="480"/>
        <w:ind w:firstLine="720" w:end="0"/>
        <w:rPr/>
      </w:pPr>
      <w:r>
        <w:rPr/>
        <w:t>///</w:t>
      </w:r>
    </w:p>
    <w:p>
      <w:pPr>
        <w:pStyle w:val="Normal"/>
        <w:spacing w:lineRule="auto" w:line="480"/>
        <w:ind w:firstLine="720" w:end="0"/>
        <w:rPr/>
      </w:pPr>
      <w:r>
        <w:rPr/>
        <w:t>///</w:t>
      </w:r>
      <w:r>
        <w:br w:type="page"/>
      </w:r>
    </w:p>
    <w:p>
      <w:pPr>
        <w:pStyle w:val="Normal"/>
        <w:spacing w:lineRule="auto" w:line="480"/>
        <w:ind w:firstLine="720" w:end="0"/>
        <w:rPr/>
      </w:pPr>
      <w:r>
        <w:rPr/>
      </w:r>
    </w:p>
    <w:p>
      <w:pPr>
        <w:pStyle w:val="Normal"/>
        <w:rPr/>
      </w:pPr>
      <w:r>
        <w:rPr/>
        <w:drawing>
          <wp:inline distT="0" distB="0" distL="0" distR="0">
            <wp:extent cx="5065395" cy="1898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9" r="-7" b="-19"/>
                    <a:stretch>
                      <a:fillRect/>
                    </a:stretch>
                  </pic:blipFill>
                  <pic:spPr bwMode="auto">
                    <a:xfrm>
                      <a:off x="0" y="0"/>
                      <a:ext cx="5065395" cy="1898015"/>
                    </a:xfrm>
                    <a:prstGeom prst="rect">
                      <a:avLst/>
                    </a:prstGeom>
                    <a:noFill/>
                  </pic:spPr>
                </pic:pic>
              </a:graphicData>
            </a:graphic>
          </wp:inline>
        </w:drawing>
      </w:r>
    </w:p>
    <w:p>
      <w:pPr>
        <w:pStyle w:val="Normal"/>
        <w:spacing w:lineRule="auto" w:line="480"/>
        <w:ind w:firstLine="720" w:end="0"/>
        <w:rPr/>
      </w:pPr>
      <w:r>
        <w:rPr/>
        <w:t xml:space="preserve">The table above shows that after the normal seasonal reduction in energy prices from summer levels, energy prices spiked again in late 2000, even exceeding mid-summer levels.  These high prices have continued into January 2001 as well.  The table also reflects the normal lag that occurs between wholesale and retail energy prices.  The wholesale price is for energy procured on a calendar period basis.  The retail rate, however, is a composite of the rolling weekly average of energy costs from both the current and previous month.  </w:t>
      </w:r>
    </w:p>
    <w:p>
      <w:pPr>
        <w:pStyle w:val="BodyText2"/>
        <w:rPr/>
      </w:pPr>
      <w:r>
        <w:rPr/>
        <w:t>To forecast future undercollections in ERCRSA requires both a forecast of energy prices and a model that simulates SDG&amp;E’s energy procurement process.  In light of recent regulatory changes in the electric market, encouraging utilities to forward contract for a portion of their load and prohibiting the sale of retained generation into the PX market, SDG&amp;E has revised its method for forecasting long-term procurement costs.  SDG&amp;E’s method now accommodates the use of both forward contracts and retained generation to serve SDG&amp;E’s bundled load.  The result is a prediction of the total wholesale cost for the energy that SDG&amp;E must procure to serve its bundled load and the associated retail commodity rate, which is used as an input to forecast the expected revenue shortfall under AB 265.</w:t>
      </w:r>
    </w:p>
    <w:p>
      <w:pPr>
        <w:pStyle w:val="WW-BodyText2"/>
        <w:rPr/>
      </w:pPr>
      <w:r>
        <w:rPr/>
        <w:t xml:space="preserve">A leading over-the-counter energy products broker, Natsource LLC, has provided assessments of forward market prices which are used by SDG&amp;E in the development of a wholesale market price forecast to project long term procurement costs.  The Natsource data for monthly 2001 prices is used directly in the forecast of wholesale market prices.  In later years, when the Natsource data is quarterly or annual, it is converted to monthly values based on historic price relationships for varying calendar periods.  </w:t>
      </w:r>
    </w:p>
    <w:p>
      <w:pPr>
        <w:pStyle w:val="BodyText2"/>
        <w:rPr/>
      </w:pPr>
      <w:r>
        <w:rPr>
          <w:lang w:eastAsia="en-US"/>
        </w:rPr>
        <w:t>Working from a recent Natsource market assessment dated 01/11/01, the table below shows the resulting forecast of average wholesale market energy prices for the years 2001 through 2005.  In the week after the forecast was prepared, actual market conditions escalated with the average PX price increasing by about 20% and bilateral market prices almost doubling.</w:t>
      </w:r>
      <w:r>
        <w:rPr>
          <w:rStyle w:val="LineNumber"/>
          <w:rStyle w:val="FootnoteReference"/>
          <w:sz w:val="20"/>
          <w:vertAlign w:val="superscript"/>
        </w:rPr>
        <w:footnoteReference w:id="3"/>
      </w:r>
      <w:r>
        <w:rPr>
          <w:lang w:eastAsia="en-US"/>
        </w:rPr>
        <w:t xml:space="preserve"> </w:t>
      </w:r>
      <w:r>
        <w:rPr/>
        <w:t xml:space="preserve"> Combining the wholesale market energy price forecast with SDG&amp;E's existing forward contracts and retained generation results in a forecast of SDG&amp;E’s net wholesale energy costs, which is shown in the table below.  The other charges that are applicable to load served from the grid, such as ancillary services, imbalance energy, Unaccounted for Energy (“UFE”) and grid management fees, are also forecast using historical relationships to energy costs, and are included with net energy costs as part of total energy procurement costs.  SDG&amp;E’s average retail commodity rate is then developed from these total costs based on the timing of retail billing.  This projected retail commodity rate, which is also shown in the table below, was then used to develop the AB 265 revenue shortfall projections and corresponding revenue shortfall surcharge contained in Michael Schneider’s testimony.  </w:t>
      </w:r>
    </w:p>
    <w:p>
      <w:pPr>
        <w:pStyle w:val="BodyText2"/>
        <w:rPr/>
      </w:pPr>
      <w:r>
        <w:rPr/>
      </w:r>
    </w:p>
    <w:p>
      <w:pPr>
        <w:pStyle w:val="BodyText2"/>
        <w:rPr/>
      </w:pPr>
      <w:r>
        <w:rPr/>
        <w:drawing>
          <wp:inline distT="0" distB="0" distL="0" distR="0">
            <wp:extent cx="5575935" cy="10642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 t="-34" r="-6" b="-34"/>
                    <a:stretch>
                      <a:fillRect/>
                    </a:stretch>
                  </pic:blipFill>
                  <pic:spPr bwMode="auto">
                    <a:xfrm>
                      <a:off x="0" y="0"/>
                      <a:ext cx="5575935" cy="1064260"/>
                    </a:xfrm>
                    <a:prstGeom prst="rect">
                      <a:avLst/>
                    </a:prstGeom>
                    <a:noFill/>
                  </pic:spPr>
                </pic:pic>
              </a:graphicData>
            </a:graphic>
          </wp:inline>
        </w:drawing>
      </w:r>
    </w:p>
    <w:sectPr>
      <w:footerReference w:type="default" r:id="rId4"/>
      <w:footnotePr>
        <w:numFmt w:val="decimal"/>
      </w:footnotePr>
      <w:type w:val="nextPage"/>
      <w:pgSz w:w="12240" w:h="15840"/>
      <w:pgMar w:left="1800" w:right="1800" w:gutter="0" w:header="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rPr>
      <w:t>WS-</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Wholesale prices are shown in dollars per megawatthour ($/MWh) while retail rates are expressed in dollars per kilowatthour ($/KWh).  A wholesale price of $65/MWh is equivalent to $0.065/KWh, or 6.5 cents/KWh).</w:t>
      </w:r>
    </w:p>
  </w:footnote>
  <w:footnote w:id="3">
    <w:p>
      <w:pPr>
        <w:pStyle w:val="FootnoteText"/>
        <w:rPr/>
      </w:pPr>
      <w:r>
        <w:rPr>
          <w:rStyle w:val="FootnoteCharacters"/>
        </w:rPr>
        <w:footnoteRef/>
      </w:r>
      <w:r>
        <w:rPr/>
        <w:t xml:space="preserve"> </w:t>
      </w:r>
      <w:r>
        <w:rPr/>
        <w:t xml:space="preserve">Forecast wholesale energy prices reflect SDG&amp;E’s load weighting, but do include the impact of forward contracts or retained generation.  Ancillary services and other charges are also excluded from the wholesale price forecast.  </w:t>
      </w:r>
    </w:p>
  </w:footnote>
</w:footnotes>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rFonts w:ascii="Times New Roman" w:hAnsi="Times New Roman" w:cs="Times New Roman"/>
      <w:sz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WW-BodyText2">
    <w:name w:val="WW-Body Text 2"/>
    <w:basedOn w:val="Normal"/>
    <w:qFormat/>
    <w:pPr>
      <w:spacing w:lineRule="auto" w:line="48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2001-01-24T21:51:00Z</dcterms:created>
  <dc:creator>Tiff Nelson</dc:creator>
  <dc:description/>
  <dc:language>en-CA</dc:language>
  <cp:lastModifiedBy>SEMPRA</cp:lastModifiedBy>
  <cp:lastPrinted>2001-01-23T15:42:00Z</cp:lastPrinted>
  <dcterms:modified xsi:type="dcterms:W3CDTF">2001-01-24T21:51:00Z</dcterms:modified>
  <cp:revision>2</cp:revision>
  <dc:subject/>
  <dc:title>DRAFT TESTIMONY OF WAYNE SAKARIAS</dc:title>
</cp:coreProperties>
</file>