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468" w:type="dxa"/>
        <w:jc w:val="start"/>
        <w:tblInd w:w="0" w:type="dxa"/>
        <w:tblLayout w:type="fixed"/>
        <w:tblCellMar>
          <w:top w:w="0" w:type="dxa"/>
          <w:start w:w="108" w:type="dxa"/>
          <w:bottom w:w="0" w:type="dxa"/>
          <w:end w:w="108" w:type="dxa"/>
        </w:tblCellMar>
      </w:tblPr>
      <w:tblGrid>
        <w:gridCol w:w="2448"/>
        <w:gridCol w:w="4500"/>
        <w:gridCol w:w="2520"/>
      </w:tblGrid>
      <w:tr>
        <w:trPr/>
        <w:tc>
          <w:tcPr>
            <w:tcW w:w="2448" w:type="dxa"/>
            <w:tcBorders/>
          </w:tcPr>
          <w:p>
            <w:pPr>
              <w:pStyle w:val="Heading"/>
              <w:rPr>
                <w:sz w:val="20"/>
              </w:rPr>
            </w:pPr>
            <w:r>
              <w:rPr>
                <w:sz w:val="20"/>
              </w:rPr>
              <w:drawing>
                <wp:inline distT="0" distB="0" distL="0" distR="0">
                  <wp:extent cx="1095375" cy="112458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5375" cy="1124585"/>
                          </a:xfrm>
                          <a:prstGeom prst="rect">
                            <a:avLst/>
                          </a:prstGeom>
                          <a:noFill/>
                        </pic:spPr>
                      </pic:pic>
                    </a:graphicData>
                  </a:graphic>
                </wp:inline>
              </w:drawing>
            </w:r>
          </w:p>
          <w:p>
            <w:pPr>
              <w:pStyle w:val="Normal"/>
              <w:spacing w:before="20" w:after="0"/>
              <w:rPr/>
            </w:pPr>
            <w:r>
              <w:rPr/>
            </w:r>
          </w:p>
        </w:tc>
        <w:tc>
          <w:tcPr>
            <w:tcW w:w="4500" w:type="dxa"/>
            <w:tcBorders/>
          </w:tcPr>
          <w:p>
            <w:pPr>
              <w:pStyle w:val="Normal"/>
              <w:snapToGrid w:val="false"/>
              <w:jc w:val="both"/>
              <w:rPr>
                <w:b/>
                <w:sz w:val="36"/>
              </w:rPr>
            </w:pPr>
            <w:r>
              <w:rPr>
                <w:b/>
                <w:sz w:val="36"/>
              </w:rPr>
            </w:r>
          </w:p>
        </w:tc>
        <w:tc>
          <w:tcPr>
            <w:tcW w:w="2520" w:type="dxa"/>
            <w:tcBorders/>
          </w:tcPr>
          <w:p>
            <w:pPr>
              <w:pStyle w:val="Normal"/>
              <w:snapToGrid w:val="false"/>
              <w:jc w:val="both"/>
              <w:rPr>
                <w:b/>
                <w:sz w:val="36"/>
              </w:rPr>
            </w:pPr>
            <w:r>
              <w:rPr>
                <w:b/>
                <w:sz w:val="36"/>
              </w:rPr>
            </w:r>
          </w:p>
        </w:tc>
      </w:tr>
      <w:tr>
        <w:trPr/>
        <w:tc>
          <w:tcPr>
            <w:tcW w:w="2448" w:type="dxa"/>
            <w:tcBorders/>
          </w:tcPr>
          <w:p>
            <w:pPr>
              <w:pStyle w:val="Normal"/>
              <w:snapToGrid w:val="false"/>
              <w:jc w:val="both"/>
              <w:rPr>
                <w:b/>
                <w:sz w:val="36"/>
              </w:rPr>
            </w:pPr>
            <w:r>
              <w:rPr>
                <w:b/>
                <w:sz w:val="36"/>
              </w:rPr>
            </w:r>
          </w:p>
        </w:tc>
        <w:tc>
          <w:tcPr>
            <w:tcW w:w="4500" w:type="dxa"/>
            <w:tcBorders/>
          </w:tcPr>
          <w:p>
            <w:pPr>
              <w:pStyle w:val="Normal"/>
              <w:snapToGrid w:val="false"/>
              <w:jc w:val="both"/>
              <w:rPr>
                <w:b/>
              </w:rPr>
            </w:pPr>
            <w:r>
              <w:rPr>
                <w:b/>
              </w:rPr>
            </w:r>
          </w:p>
        </w:tc>
        <w:tc>
          <w:tcPr>
            <w:tcW w:w="2520" w:type="dxa"/>
            <w:tcBorders/>
          </w:tcPr>
          <w:p>
            <w:pPr>
              <w:pStyle w:val="Normal"/>
              <w:snapToGrid w:val="false"/>
              <w:jc w:val="both"/>
              <w:rPr>
                <w:b/>
              </w:rPr>
            </w:pPr>
            <w:r>
              <w:rPr>
                <w:b/>
              </w:rPr>
            </w:r>
          </w:p>
        </w:tc>
      </w:tr>
    </w:tbl>
    <w:p>
      <w:pPr>
        <w:pStyle w:val="Normal"/>
        <w:pBdr>
          <w:top w:val="double" w:sz="12" w:space="1" w:color="000000"/>
        </w:pBdr>
        <w:jc w:val="center"/>
        <w:rPr>
          <w:b/>
          <w:sz w:val="28"/>
        </w:rPr>
      </w:pPr>
      <w:r>
        <w:rPr>
          <w:b/>
          <w:sz w:val="28"/>
        </w:rPr>
        <w:t>PRIVILEGED AND CONFIDENTIAL</w:t>
      </w:r>
    </w:p>
    <w:p>
      <w:pPr>
        <w:pStyle w:val="Normal"/>
        <w:pBdr>
          <w:top w:val="double" w:sz="12" w:space="1" w:color="000000"/>
        </w:pBdr>
        <w:jc w:val="center"/>
        <w:rPr>
          <w:b/>
          <w:sz w:val="20"/>
        </w:rPr>
      </w:pPr>
      <w:r>
        <w:rPr>
          <w:b/>
          <w:sz w:val="20"/>
        </w:rPr>
      </w:r>
    </w:p>
    <w:tbl>
      <w:tblPr>
        <w:tblW w:w="8748" w:type="dxa"/>
        <w:jc w:val="start"/>
        <w:tblInd w:w="0" w:type="dxa"/>
        <w:tblLayout w:type="fixed"/>
        <w:tblCellMar>
          <w:top w:w="0" w:type="dxa"/>
          <w:start w:w="108" w:type="dxa"/>
          <w:bottom w:w="0" w:type="dxa"/>
          <w:end w:w="108" w:type="dxa"/>
        </w:tblCellMar>
      </w:tblPr>
      <w:tblGrid>
        <w:gridCol w:w="1908"/>
        <w:gridCol w:w="2430"/>
        <w:gridCol w:w="2070"/>
        <w:gridCol w:w="1890"/>
        <w:gridCol w:w="450"/>
      </w:tblGrid>
      <w:tr>
        <w:trPr/>
        <w:tc>
          <w:tcPr>
            <w:tcW w:w="1908" w:type="dxa"/>
            <w:tcBorders/>
          </w:tcPr>
          <w:p>
            <w:pPr>
              <w:pStyle w:val="Normal"/>
              <w:spacing w:before="0" w:after="120"/>
              <w:jc w:val="both"/>
              <w:rPr>
                <w:sz w:val="18"/>
              </w:rPr>
            </w:pPr>
            <w:r>
              <w:rPr>
                <w:b/>
                <w:sz w:val="18"/>
              </w:rPr>
              <w:t>TO:</w:t>
            </w:r>
          </w:p>
        </w:tc>
        <w:tc>
          <w:tcPr>
            <w:tcW w:w="2430" w:type="dxa"/>
            <w:tcBorders/>
          </w:tcPr>
          <w:p>
            <w:pPr>
              <w:pStyle w:val="Normal"/>
              <w:jc w:val="both"/>
              <w:rPr>
                <w:sz w:val="20"/>
              </w:rPr>
            </w:pPr>
            <w:r>
              <w:rPr>
                <w:sz w:val="20"/>
              </w:rPr>
              <w:t>Mark Haedicke</w:t>
            </w:r>
          </w:p>
          <w:p>
            <w:pPr>
              <w:pStyle w:val="Normal"/>
              <w:jc w:val="both"/>
              <w:rPr>
                <w:sz w:val="20"/>
              </w:rPr>
            </w:pPr>
            <w:r>
              <w:rPr>
                <w:sz w:val="20"/>
              </w:rPr>
              <w:t>Sheila Tweed</w:t>
            </w:r>
          </w:p>
          <w:p>
            <w:pPr>
              <w:pStyle w:val="Normal"/>
              <w:jc w:val="both"/>
              <w:rPr>
                <w:sz w:val="20"/>
              </w:rPr>
            </w:pPr>
            <w:r>
              <w:rPr>
                <w:sz w:val="20"/>
              </w:rPr>
              <w:t>cc:  Chris Calger</w:t>
            </w:r>
          </w:p>
          <w:p>
            <w:pPr>
              <w:pStyle w:val="Normal"/>
              <w:jc w:val="both"/>
              <w:rPr>
                <w:sz w:val="20"/>
              </w:rPr>
            </w:pPr>
            <w:r>
              <w:rPr>
                <w:sz w:val="20"/>
              </w:rPr>
              <w:t xml:space="preserve">       </w:t>
            </w:r>
            <w:r>
              <w:rPr>
                <w:sz w:val="20"/>
              </w:rPr>
              <w:t>Mike Etringer</w:t>
            </w:r>
          </w:p>
          <w:p>
            <w:pPr>
              <w:pStyle w:val="Normal"/>
              <w:jc w:val="both"/>
              <w:rPr>
                <w:sz w:val="20"/>
              </w:rPr>
            </w:pPr>
            <w:r>
              <w:rPr>
                <w:sz w:val="20"/>
              </w:rPr>
              <w:t xml:space="preserve">       </w:t>
            </w:r>
            <w:r>
              <w:rPr>
                <w:sz w:val="20"/>
              </w:rPr>
              <w:t>Chip Schneider</w:t>
            </w:r>
          </w:p>
        </w:tc>
        <w:tc>
          <w:tcPr>
            <w:tcW w:w="2070" w:type="dxa"/>
            <w:tcBorders/>
          </w:tcPr>
          <w:p>
            <w:pPr>
              <w:pStyle w:val="Normal"/>
              <w:spacing w:before="0" w:after="120"/>
              <w:jc w:val="both"/>
              <w:rPr>
                <w:sz w:val="20"/>
              </w:rPr>
            </w:pPr>
            <w:r>
              <w:rPr>
                <w:b/>
                <w:sz w:val="20"/>
              </w:rPr>
              <w:t>DATE:</w:t>
            </w:r>
          </w:p>
        </w:tc>
        <w:tc>
          <w:tcPr>
            <w:tcW w:w="2340" w:type="dxa"/>
            <w:gridSpan w:val="2"/>
            <w:tcBorders/>
          </w:tcPr>
          <w:p>
            <w:pPr>
              <w:pStyle w:val="Normal"/>
              <w:spacing w:before="0" w:after="120"/>
              <w:jc w:val="both"/>
              <w:rPr>
                <w:sz w:val="20"/>
              </w:rPr>
            </w:pPr>
            <w:r>
              <w:rPr>
                <w:sz w:val="20"/>
              </w:rPr>
              <w:t>September 20, 2001</w:t>
            </w:r>
          </w:p>
        </w:tc>
      </w:tr>
      <w:tr>
        <w:trPr/>
        <w:tc>
          <w:tcPr>
            <w:tcW w:w="1908" w:type="dxa"/>
            <w:tcBorders/>
          </w:tcPr>
          <w:p>
            <w:pPr>
              <w:pStyle w:val="Normal"/>
              <w:spacing w:before="120" w:after="240"/>
              <w:jc w:val="both"/>
              <w:rPr>
                <w:sz w:val="18"/>
              </w:rPr>
            </w:pPr>
            <w:r>
              <w:rPr>
                <w:b/>
                <w:sz w:val="18"/>
              </w:rPr>
              <w:t>FROM:</w:t>
            </w:r>
          </w:p>
        </w:tc>
        <w:tc>
          <w:tcPr>
            <w:tcW w:w="2430" w:type="dxa"/>
            <w:tcBorders/>
          </w:tcPr>
          <w:p>
            <w:pPr>
              <w:pStyle w:val="Normal"/>
              <w:spacing w:before="120" w:after="240"/>
              <w:jc w:val="both"/>
              <w:rPr>
                <w:sz w:val="20"/>
              </w:rPr>
            </w:pPr>
            <w:r>
              <w:rPr>
                <w:sz w:val="20"/>
              </w:rPr>
              <w:t>Karen Jones</w:t>
            </w:r>
          </w:p>
        </w:tc>
        <w:tc>
          <w:tcPr>
            <w:tcW w:w="2070" w:type="dxa"/>
            <w:tcBorders/>
          </w:tcPr>
          <w:p>
            <w:pPr>
              <w:pStyle w:val="Normal"/>
              <w:spacing w:before="120" w:after="240"/>
              <w:jc w:val="both"/>
              <w:rPr>
                <w:b/>
                <w:sz w:val="20"/>
              </w:rPr>
            </w:pPr>
            <w:r>
              <w:rPr>
                <w:b/>
                <w:sz w:val="20"/>
              </w:rPr>
              <w:t>DEPARTMENT:</w:t>
            </w:r>
          </w:p>
        </w:tc>
        <w:tc>
          <w:tcPr>
            <w:tcW w:w="2340" w:type="dxa"/>
            <w:gridSpan w:val="2"/>
            <w:tcBorders/>
          </w:tcPr>
          <w:p>
            <w:pPr>
              <w:pStyle w:val="Normal"/>
              <w:spacing w:before="120" w:after="240"/>
              <w:jc w:val="both"/>
              <w:rPr>
                <w:sz w:val="20"/>
              </w:rPr>
            </w:pPr>
            <w:r>
              <w:rPr>
                <w:sz w:val="20"/>
              </w:rPr>
              <w:t>Legal Department</w:t>
            </w:r>
          </w:p>
        </w:tc>
      </w:tr>
      <w:tr>
        <w:trPr/>
        <w:tc>
          <w:tcPr>
            <w:tcW w:w="1908" w:type="dxa"/>
            <w:tcBorders/>
          </w:tcPr>
          <w:p>
            <w:pPr>
              <w:pStyle w:val="Normal"/>
              <w:spacing w:before="0" w:after="120"/>
              <w:jc w:val="both"/>
              <w:rPr>
                <w:sz w:val="18"/>
              </w:rPr>
            </w:pPr>
            <w:r>
              <w:rPr>
                <w:b/>
                <w:sz w:val="18"/>
              </w:rPr>
              <w:t>SUBJECT:</w:t>
            </w:r>
          </w:p>
        </w:tc>
        <w:tc>
          <w:tcPr>
            <w:tcW w:w="6390" w:type="dxa"/>
            <w:gridSpan w:val="3"/>
            <w:tcBorders/>
          </w:tcPr>
          <w:p>
            <w:pPr>
              <w:pStyle w:val="Normal"/>
              <w:rPr>
                <w:sz w:val="20"/>
              </w:rPr>
            </w:pPr>
            <w:r>
              <w:rPr>
                <w:sz w:val="20"/>
              </w:rPr>
              <w:t>Legal Risk Memo – Saguaro/Sale of Black Mountain Power Company to NRG</w:t>
            </w:r>
          </w:p>
        </w:tc>
        <w:tc>
          <w:tcPr>
            <w:tcW w:w="450" w:type="dxa"/>
            <w:tcBorders/>
            <w:tcMar>
              <w:start w:w="0" w:type="dxa"/>
              <w:end w:w="0" w:type="dxa"/>
            </w:tcMar>
          </w:tcPr>
          <w:p>
            <w:pPr>
              <w:pStyle w:val="Normal"/>
              <w:snapToGrid w:val="false"/>
              <w:rPr>
                <w:sz w:val="18"/>
              </w:rPr>
            </w:pPr>
            <w:r>
              <w:rPr>
                <w:sz w:val="18"/>
              </w:rPr>
            </w:r>
          </w:p>
        </w:tc>
      </w:tr>
    </w:tbl>
    <w:p>
      <w:pPr>
        <w:pStyle w:val="Normal"/>
        <w:pBdr>
          <w:bottom w:val="double" w:sz="12" w:space="1" w:color="000000"/>
        </w:pBdr>
        <w:rPr>
          <w:sz w:val="18"/>
        </w:rPr>
      </w:pPr>
      <w:r>
        <w:rPr>
          <w:sz w:val="18"/>
        </w:rPr>
      </w:r>
    </w:p>
    <w:p>
      <w:pPr>
        <w:pStyle w:val="Normal"/>
        <w:rPr>
          <w:sz w:val="18"/>
        </w:rPr>
      </w:pPr>
      <w:r>
        <w:rPr>
          <w:sz w:val="18"/>
        </w:rPr>
      </w:r>
    </w:p>
    <w:p>
      <w:pPr>
        <w:pStyle w:val="Normal"/>
        <w:keepNext w:val="true"/>
        <w:ind w:hanging="1260" w:start="1260" w:end="0"/>
        <w:jc w:val="both"/>
        <w:rPr>
          <w:sz w:val="20"/>
        </w:rPr>
      </w:pPr>
      <w:r>
        <w:rPr>
          <w:sz w:val="22"/>
        </w:rPr>
        <w:tab/>
      </w:r>
      <w:r>
        <w:rPr>
          <w:b/>
          <w:color w:val="000000"/>
          <w:sz w:val="22"/>
        </w:rPr>
        <w:t xml:space="preserve">LEGAL RISK RATING = 1 </w:t>
      </w:r>
      <w:r>
        <w:rPr>
          <w:color w:val="000000"/>
          <w:sz w:val="20"/>
        </w:rPr>
        <w:t>(1 being low risk, and 5 being high risk)</w:t>
      </w:r>
    </w:p>
    <w:p>
      <w:pPr>
        <w:pStyle w:val="Normal"/>
        <w:ind w:hanging="2700" w:start="2700" w:end="-720"/>
        <w:jc w:val="both"/>
        <w:rPr>
          <w:sz w:val="18"/>
        </w:rPr>
      </w:pPr>
      <w:r>
        <w:rPr>
          <w:sz w:val="18"/>
        </w:rPr>
      </w:r>
    </w:p>
    <w:tbl>
      <w:tblPr>
        <w:tblW w:w="5700" w:type="pct"/>
        <w:jc w:val="start"/>
        <w:tblInd w:w="-522" w:type="dxa"/>
        <w:tblLayout w:type="fixed"/>
        <w:tblCellMar>
          <w:top w:w="0" w:type="dxa"/>
          <w:start w:w="108" w:type="dxa"/>
          <w:bottom w:w="0" w:type="dxa"/>
          <w:end w:w="108" w:type="dxa"/>
        </w:tblCellMar>
      </w:tblPr>
      <w:tblGrid>
        <w:gridCol w:w="967"/>
        <w:gridCol w:w="514"/>
        <w:gridCol w:w="345"/>
        <w:gridCol w:w="790"/>
        <w:gridCol w:w="7233"/>
      </w:tblGrid>
      <w:tr>
        <w:trPr/>
        <w:tc>
          <w:tcPr>
            <w:tcW w:w="1481" w:type="dxa"/>
            <w:gridSpan w:val="2"/>
            <w:tcBorders/>
          </w:tcPr>
          <w:p>
            <w:pPr>
              <w:pStyle w:val="BodyTextIndent"/>
              <w:ind w:hanging="0" w:start="0" w:end="0"/>
              <w:rPr>
                <w:sz w:val="20"/>
              </w:rPr>
            </w:pPr>
            <w:r>
              <w:rPr>
                <w:sz w:val="20"/>
              </w:rPr>
              <w:t>Enron-Related Entities:</w:t>
            </w:r>
          </w:p>
        </w:tc>
        <w:tc>
          <w:tcPr>
            <w:tcW w:w="345" w:type="dxa"/>
            <w:tcBorders/>
          </w:tcPr>
          <w:p>
            <w:pPr>
              <w:pStyle w:val="BodyTextIndent"/>
              <w:snapToGrid w:val="false"/>
              <w:ind w:hanging="0" w:start="0" w:end="0"/>
              <w:rPr>
                <w:sz w:val="20"/>
              </w:rPr>
            </w:pPr>
            <w:r>
              <w:rPr>
                <w:sz w:val="20"/>
              </w:rPr>
            </w:r>
          </w:p>
        </w:tc>
        <w:tc>
          <w:tcPr>
            <w:tcW w:w="8023" w:type="dxa"/>
            <w:gridSpan w:val="2"/>
            <w:tcBorders/>
          </w:tcPr>
          <w:p>
            <w:pPr>
              <w:pStyle w:val="BodyTextIndent"/>
              <w:ind w:firstLine="18" w:start="0" w:end="0"/>
              <w:rPr>
                <w:sz w:val="20"/>
              </w:rPr>
            </w:pPr>
            <w:r>
              <w:rPr>
                <w:sz w:val="20"/>
              </w:rPr>
              <w:t>Enron North America Corp. (“ENA”), Joint Energy Development Investments II Limited Partnership (“JEDI II”), and ECTMI Trutta Holdings LP (“Trutta”).</w:t>
            </w:r>
          </w:p>
          <w:p>
            <w:pPr>
              <w:pStyle w:val="BodyTextIndent"/>
              <w:ind w:hanging="0" w:start="0" w:end="0"/>
              <w:rPr>
                <w:sz w:val="20"/>
              </w:rPr>
            </w:pPr>
            <w:r>
              <w:rPr>
                <w:sz w:val="20"/>
              </w:rPr>
            </w:r>
          </w:p>
        </w:tc>
      </w:tr>
      <w:tr>
        <w:trPr/>
        <w:tc>
          <w:tcPr>
            <w:tcW w:w="1481" w:type="dxa"/>
            <w:gridSpan w:val="2"/>
            <w:tcBorders/>
          </w:tcPr>
          <w:p>
            <w:pPr>
              <w:pStyle w:val="BodyTextIndent"/>
              <w:ind w:hanging="0" w:start="0" w:end="0"/>
              <w:rPr>
                <w:sz w:val="20"/>
              </w:rPr>
            </w:pPr>
            <w:r>
              <w:rPr>
                <w:sz w:val="20"/>
              </w:rPr>
              <w:t>Counterparties:</w:t>
            </w:r>
          </w:p>
        </w:tc>
        <w:tc>
          <w:tcPr>
            <w:tcW w:w="345" w:type="dxa"/>
            <w:tcBorders/>
          </w:tcPr>
          <w:p>
            <w:pPr>
              <w:pStyle w:val="BodyTextIndent"/>
              <w:snapToGrid w:val="false"/>
              <w:ind w:hanging="0" w:start="0" w:end="0"/>
              <w:rPr>
                <w:sz w:val="20"/>
              </w:rPr>
            </w:pPr>
            <w:r>
              <w:rPr>
                <w:sz w:val="20"/>
              </w:rPr>
            </w:r>
          </w:p>
        </w:tc>
        <w:tc>
          <w:tcPr>
            <w:tcW w:w="8023" w:type="dxa"/>
            <w:gridSpan w:val="2"/>
            <w:tcBorders/>
          </w:tcPr>
          <w:p>
            <w:pPr>
              <w:pStyle w:val="BodyTextIndent"/>
              <w:ind w:firstLine="12" w:start="-12" w:end="0"/>
              <w:rPr>
                <w:sz w:val="20"/>
              </w:rPr>
            </w:pPr>
            <w:r>
              <w:rPr>
                <w:sz w:val="20"/>
              </w:rPr>
              <w:t>NRG Energy, Inc. (“NRG”) and Saguaro Power LLC (“Buyer”), a wholly-owned subsidiary of NRG.</w:t>
            </w:r>
          </w:p>
          <w:p>
            <w:pPr>
              <w:pStyle w:val="BodyTextIndent"/>
              <w:ind w:hanging="1440" w:start="1440" w:end="0"/>
              <w:rPr>
                <w:sz w:val="20"/>
              </w:rPr>
            </w:pPr>
            <w:r>
              <w:rPr>
                <w:sz w:val="20"/>
              </w:rPr>
            </w:r>
          </w:p>
        </w:tc>
      </w:tr>
      <w:tr>
        <w:trPr/>
        <w:tc>
          <w:tcPr>
            <w:tcW w:w="1481" w:type="dxa"/>
            <w:gridSpan w:val="2"/>
            <w:tcBorders/>
          </w:tcPr>
          <w:p>
            <w:pPr>
              <w:pStyle w:val="BodyTextIndent"/>
              <w:ind w:hanging="1440" w:start="1440" w:end="0"/>
              <w:rPr>
                <w:sz w:val="20"/>
              </w:rPr>
            </w:pPr>
            <w:r>
              <w:rPr>
                <w:sz w:val="20"/>
              </w:rPr>
              <w:t xml:space="preserve">Nature of </w:t>
            </w:r>
          </w:p>
          <w:p>
            <w:pPr>
              <w:pStyle w:val="BodyTextIndent"/>
              <w:ind w:hanging="0" w:start="0" w:end="0"/>
              <w:rPr>
                <w:sz w:val="20"/>
              </w:rPr>
            </w:pPr>
            <w:r>
              <w:rPr>
                <w:sz w:val="20"/>
              </w:rPr>
              <w:t>Transaction:</w:t>
            </w:r>
          </w:p>
        </w:tc>
        <w:tc>
          <w:tcPr>
            <w:tcW w:w="345" w:type="dxa"/>
            <w:tcBorders/>
          </w:tcPr>
          <w:p>
            <w:pPr>
              <w:pStyle w:val="BodyTextIndent"/>
              <w:snapToGrid w:val="false"/>
              <w:ind w:hanging="0" w:start="0" w:end="0"/>
              <w:rPr>
                <w:sz w:val="20"/>
              </w:rPr>
            </w:pPr>
            <w:r>
              <w:rPr>
                <w:sz w:val="20"/>
              </w:rPr>
            </w:r>
          </w:p>
        </w:tc>
        <w:tc>
          <w:tcPr>
            <w:tcW w:w="8023" w:type="dxa"/>
            <w:gridSpan w:val="2"/>
            <w:tcBorders/>
          </w:tcPr>
          <w:p>
            <w:pPr>
              <w:pStyle w:val="BodyTextIndent"/>
              <w:ind w:hanging="0" w:start="0" w:end="0"/>
              <w:rPr>
                <w:sz w:val="20"/>
              </w:rPr>
            </w:pPr>
            <w:r>
              <w:rPr>
                <w:sz w:val="20"/>
              </w:rPr>
              <w:t>Sale of Black Mountain Power Company, LLC (“BMP”) to Buyer.  As part of an Enron financing structure put in place in 1999 to accommodate the acquisition of a QF interest in compliance with the 50% utility ownership limitations of PURPA,  JEDI II/Trutta currently hold debt and call interests in Boulder Power Company, LLC (“Boulder”), which holds 100% of the interests in BMP.  BMP, in turn, holds a 14% General Partner/1% Limited Partner interest in Saguaro Power Company, which owns the QF facility, located in Nevada.</w:t>
            </w:r>
          </w:p>
          <w:p>
            <w:pPr>
              <w:pStyle w:val="BodyTextIndent"/>
              <w:ind w:hanging="0" w:start="0" w:end="0"/>
              <w:rPr>
                <w:sz w:val="20"/>
              </w:rPr>
            </w:pPr>
            <w:r>
              <w:rPr>
                <w:sz w:val="20"/>
              </w:rPr>
            </w:r>
          </w:p>
          <w:p>
            <w:pPr>
              <w:pStyle w:val="BodyTextIndent"/>
              <w:ind w:hanging="0" w:start="0" w:end="0"/>
              <w:rPr>
                <w:sz w:val="20"/>
              </w:rPr>
            </w:pPr>
            <w:r>
              <w:rPr>
                <w:sz w:val="20"/>
              </w:rPr>
              <w:t>ENA, individually and as servicing agent for Trutta, plans to sign a purchase and sale agreement (the “PSA”) with Buyer.  NRG will be a signatory to the PSA, and thereby will be directly obligated to cause Buyer to perform under the PSA.  In order to maintain confidentiality of the upstream financing structure, JEDI II is not a party to the PSA, nor have Buyer or NRG been allowed to conduct due diligence on the entities upstream of BMP.  The transaction under the PSA is expected to close as soon as necessary lender and partner consents have been obtained and the upstream financing structure is “unwound” as necessary to convey the requisite entity interests to ENA and to Trutta for conveyance to Buyer.  The other significant condition to closing is that ENA’s representations and warranties in the PSA must be materially true and correct as of the closing date.</w:t>
            </w:r>
          </w:p>
        </w:tc>
      </w:tr>
      <w:tr>
        <w:trPr/>
        <w:tc>
          <w:tcPr>
            <w:tcW w:w="9849" w:type="dxa"/>
            <w:gridSpan w:val="5"/>
            <w:tcBorders/>
          </w:tcPr>
          <w:p>
            <w:pPr>
              <w:pStyle w:val="Heading1"/>
              <w:rPr>
                <w:sz w:val="24"/>
              </w:rPr>
            </w:pPr>
            <w:r>
              <w:rPr>
                <w:sz w:val="24"/>
              </w:rPr>
              <w:t>RISKS/MITIGANTS</w:t>
            </w:r>
          </w:p>
          <w:p>
            <w:pPr>
              <w:pStyle w:val="BodyTextIndent"/>
              <w:ind w:hanging="0" w:start="0" w:end="0"/>
              <w:rPr>
                <w:sz w:val="20"/>
              </w:rPr>
            </w:pPr>
            <w:r>
              <w:rPr>
                <w:sz w:val="20"/>
              </w:rPr>
            </w:r>
          </w:p>
        </w:tc>
      </w:tr>
      <w:tr>
        <w:trPr/>
        <w:tc>
          <w:tcPr>
            <w:tcW w:w="967" w:type="dxa"/>
            <w:tcBorders/>
          </w:tcPr>
          <w:p>
            <w:pPr>
              <w:pStyle w:val="Normal"/>
              <w:keepNext w:val="true"/>
              <w:ind w:end="-720"/>
              <w:jc w:val="both"/>
              <w:rPr>
                <w:sz w:val="20"/>
              </w:rPr>
            </w:pPr>
            <w:r>
              <w:rPr>
                <w:sz w:val="20"/>
              </w:rPr>
              <w:t>1.</w:t>
            </w:r>
          </w:p>
        </w:tc>
        <w:tc>
          <w:tcPr>
            <w:tcW w:w="1649" w:type="dxa"/>
            <w:gridSpan w:val="3"/>
            <w:tcBorders/>
          </w:tcPr>
          <w:p>
            <w:pPr>
              <w:pStyle w:val="Normal"/>
              <w:keepNext w:val="true"/>
              <w:ind w:end="-720"/>
              <w:rPr>
                <w:sz w:val="20"/>
              </w:rPr>
            </w:pPr>
            <w:r>
              <w:rPr>
                <w:sz w:val="20"/>
              </w:rPr>
              <w:t>Ongoing Liability</w:t>
            </w:r>
          </w:p>
          <w:p>
            <w:pPr>
              <w:pStyle w:val="Normal"/>
              <w:keepNext w:val="true"/>
              <w:ind w:end="-720"/>
              <w:rPr>
                <w:sz w:val="20"/>
              </w:rPr>
            </w:pPr>
            <w:r>
              <w:rPr>
                <w:sz w:val="20"/>
              </w:rPr>
              <w:t>of ENA:</w:t>
            </w:r>
          </w:p>
        </w:tc>
        <w:tc>
          <w:tcPr>
            <w:tcW w:w="7233" w:type="dxa"/>
            <w:tcBorders/>
          </w:tcPr>
          <w:p>
            <w:pPr>
              <w:pStyle w:val="BodyTextIndent"/>
              <w:ind w:hanging="0" w:start="0" w:end="0"/>
              <w:rPr>
                <w:sz w:val="20"/>
              </w:rPr>
            </w:pPr>
            <w:r>
              <w:rPr>
                <w:sz w:val="20"/>
              </w:rPr>
              <w:t>ENA will have exposure under an indemnity for its reps and warranties in the PSA for twelve (12) months (except for tax reps, which survive for the applicable statute of limitations period).  Many of the reps covering matters relating to BMP and Saguaro, and their assets, liabilities and operations, are broader than we prefer, and will not be completely “backstopped”:  neither complete due diligence by ENA nor an indemnity from the current owners was possible, given the existing structure (where no Enron entity currently owns, or controls the management or affairs of, Boulder, BMP or Saguaro) and because the current owners (individuals) of Boulder are not willing to undertake financial responsibility for ENA’s representations in the PSA.  ENA’s exposure, however, is mitigated by (1) knowledge qualifiers on many of the reps, (2) an overall 10% cap on the indemnity for all reps except the rep regarding title/authority (capped at 100% of the purchase price), and (3) specific acknowledgments by NRG and Buyer in the PSA negating any special duties of inquiry by ENA with respect to the reps being made by ENA.</w:t>
            </w:r>
          </w:p>
        </w:tc>
      </w:tr>
      <w:tr>
        <w:trPr/>
        <w:tc>
          <w:tcPr>
            <w:tcW w:w="967" w:type="dxa"/>
            <w:tcBorders/>
          </w:tcPr>
          <w:p>
            <w:pPr>
              <w:pStyle w:val="Normal"/>
              <w:keepNext w:val="true"/>
              <w:snapToGrid w:val="false"/>
              <w:ind w:end="-720"/>
              <w:jc w:val="both"/>
              <w:rPr>
                <w:sz w:val="20"/>
              </w:rPr>
            </w:pPr>
            <w:r>
              <w:rPr>
                <w:sz w:val="20"/>
              </w:rPr>
            </w:r>
          </w:p>
        </w:tc>
        <w:tc>
          <w:tcPr>
            <w:tcW w:w="1649" w:type="dxa"/>
            <w:gridSpan w:val="3"/>
            <w:tcBorders/>
          </w:tcPr>
          <w:p>
            <w:pPr>
              <w:pStyle w:val="Normal"/>
              <w:keepNext w:val="true"/>
              <w:snapToGrid w:val="false"/>
              <w:ind w:end="-720"/>
              <w:jc w:val="both"/>
              <w:rPr>
                <w:sz w:val="20"/>
              </w:rPr>
            </w:pPr>
            <w:r>
              <w:rPr>
                <w:sz w:val="20"/>
              </w:rPr>
            </w:r>
          </w:p>
        </w:tc>
        <w:tc>
          <w:tcPr>
            <w:tcW w:w="7233" w:type="dxa"/>
            <w:tcBorders/>
          </w:tcPr>
          <w:p>
            <w:pPr>
              <w:pStyle w:val="BodyTextIndent"/>
              <w:snapToGrid w:val="false"/>
              <w:ind w:hanging="0" w:start="0" w:end="0"/>
              <w:rPr>
                <w:sz w:val="20"/>
              </w:rPr>
            </w:pPr>
            <w:r>
              <w:rPr>
                <w:sz w:val="20"/>
              </w:rPr>
            </w:r>
          </w:p>
        </w:tc>
      </w:tr>
      <w:tr>
        <w:trPr/>
        <w:tc>
          <w:tcPr>
            <w:tcW w:w="967" w:type="dxa"/>
            <w:tcBorders/>
          </w:tcPr>
          <w:p>
            <w:pPr>
              <w:pStyle w:val="Normal"/>
              <w:keepNext w:val="true"/>
              <w:ind w:end="-720"/>
              <w:jc w:val="both"/>
              <w:rPr>
                <w:sz w:val="20"/>
              </w:rPr>
            </w:pPr>
            <w:r>
              <w:rPr>
                <w:sz w:val="20"/>
              </w:rPr>
              <w:t>2.</w:t>
            </w:r>
          </w:p>
        </w:tc>
        <w:tc>
          <w:tcPr>
            <w:tcW w:w="1649" w:type="dxa"/>
            <w:gridSpan w:val="3"/>
            <w:tcBorders/>
          </w:tcPr>
          <w:p>
            <w:pPr>
              <w:pStyle w:val="Normal"/>
              <w:keepNext w:val="true"/>
              <w:ind w:end="-720"/>
              <w:jc w:val="both"/>
              <w:rPr>
                <w:sz w:val="20"/>
              </w:rPr>
            </w:pPr>
            <w:r>
              <w:rPr>
                <w:sz w:val="20"/>
              </w:rPr>
              <w:t>Third Party</w:t>
            </w:r>
          </w:p>
          <w:p>
            <w:pPr>
              <w:pStyle w:val="Normal"/>
              <w:keepNext w:val="true"/>
              <w:ind w:end="-720"/>
              <w:jc w:val="both"/>
              <w:rPr>
                <w:sz w:val="20"/>
              </w:rPr>
            </w:pPr>
            <w:r>
              <w:rPr>
                <w:sz w:val="20"/>
              </w:rPr>
              <w:t>Performance Risk:</w:t>
            </w:r>
          </w:p>
        </w:tc>
        <w:tc>
          <w:tcPr>
            <w:tcW w:w="7233" w:type="dxa"/>
            <w:tcBorders/>
          </w:tcPr>
          <w:p>
            <w:pPr>
              <w:pStyle w:val="BodyTextIndent"/>
              <w:ind w:hanging="0" w:start="0" w:end="0"/>
              <w:rPr>
                <w:sz w:val="20"/>
              </w:rPr>
            </w:pPr>
            <w:r>
              <w:rPr>
                <w:sz w:val="20"/>
              </w:rPr>
              <w:t xml:space="preserve">ENA’s ability to perform under the PSA is dependent upon the timely conveyances by the Boulder owners, Trutta and JEDI II of the requisite ownership interests (which, in the worst case, might require an action against the Boulder owners to compel the conveyance of the Boulder interests required under the call document).  ENA expects full cooperation from these parties within the timeframes allowed in the PSA. </w:t>
            </w:r>
          </w:p>
        </w:tc>
      </w:tr>
      <w:tr>
        <w:trPr/>
        <w:tc>
          <w:tcPr>
            <w:tcW w:w="967" w:type="dxa"/>
            <w:tcBorders/>
          </w:tcPr>
          <w:p>
            <w:pPr>
              <w:pStyle w:val="Normal"/>
              <w:keepNext w:val="true"/>
              <w:snapToGrid w:val="false"/>
              <w:ind w:end="-720"/>
              <w:jc w:val="both"/>
              <w:rPr>
                <w:sz w:val="20"/>
              </w:rPr>
            </w:pPr>
            <w:r>
              <w:rPr>
                <w:sz w:val="20"/>
              </w:rPr>
            </w:r>
          </w:p>
        </w:tc>
        <w:tc>
          <w:tcPr>
            <w:tcW w:w="1649" w:type="dxa"/>
            <w:gridSpan w:val="3"/>
            <w:tcBorders/>
          </w:tcPr>
          <w:p>
            <w:pPr>
              <w:pStyle w:val="Normal"/>
              <w:keepNext w:val="true"/>
              <w:snapToGrid w:val="false"/>
              <w:ind w:end="-720"/>
              <w:jc w:val="both"/>
              <w:rPr>
                <w:sz w:val="20"/>
              </w:rPr>
            </w:pPr>
            <w:r>
              <w:rPr>
                <w:sz w:val="20"/>
              </w:rPr>
            </w:r>
          </w:p>
        </w:tc>
        <w:tc>
          <w:tcPr>
            <w:tcW w:w="7233" w:type="dxa"/>
            <w:tcBorders/>
          </w:tcPr>
          <w:p>
            <w:pPr>
              <w:pStyle w:val="BodyTextIndent"/>
              <w:snapToGrid w:val="false"/>
              <w:ind w:hanging="0" w:start="0" w:end="0"/>
              <w:rPr>
                <w:sz w:val="20"/>
              </w:rPr>
            </w:pPr>
            <w:r>
              <w:rPr>
                <w:sz w:val="20"/>
              </w:rPr>
            </w:r>
          </w:p>
        </w:tc>
      </w:tr>
      <w:tr>
        <w:trPr/>
        <w:tc>
          <w:tcPr>
            <w:tcW w:w="967" w:type="dxa"/>
            <w:tcBorders/>
          </w:tcPr>
          <w:p>
            <w:pPr>
              <w:pStyle w:val="Normal"/>
              <w:keepNext w:val="true"/>
              <w:ind w:end="-720"/>
              <w:jc w:val="both"/>
              <w:rPr>
                <w:sz w:val="20"/>
              </w:rPr>
            </w:pPr>
            <w:r>
              <w:rPr>
                <w:sz w:val="20"/>
              </w:rPr>
              <w:t>3.</w:t>
            </w:r>
          </w:p>
        </w:tc>
        <w:tc>
          <w:tcPr>
            <w:tcW w:w="1649" w:type="dxa"/>
            <w:gridSpan w:val="3"/>
            <w:tcBorders/>
          </w:tcPr>
          <w:p>
            <w:pPr>
              <w:pStyle w:val="Normal"/>
              <w:keepNext w:val="true"/>
              <w:ind w:end="-720"/>
              <w:jc w:val="both"/>
              <w:rPr>
                <w:sz w:val="20"/>
              </w:rPr>
            </w:pPr>
            <w:r>
              <w:rPr>
                <w:sz w:val="20"/>
              </w:rPr>
              <w:t xml:space="preserve">Further Limitations on </w:t>
            </w:r>
          </w:p>
          <w:p>
            <w:pPr>
              <w:pStyle w:val="Normal"/>
              <w:keepNext w:val="true"/>
              <w:ind w:end="-720"/>
              <w:jc w:val="both"/>
              <w:rPr>
                <w:sz w:val="20"/>
              </w:rPr>
            </w:pPr>
            <w:r>
              <w:rPr>
                <w:sz w:val="20"/>
              </w:rPr>
              <w:t>of Liability:</w:t>
            </w:r>
          </w:p>
        </w:tc>
        <w:tc>
          <w:tcPr>
            <w:tcW w:w="7233" w:type="dxa"/>
            <w:tcBorders/>
          </w:tcPr>
          <w:p>
            <w:pPr>
              <w:pStyle w:val="BodyTextIndent"/>
              <w:ind w:hanging="0" w:start="0" w:end="0"/>
              <w:rPr>
                <w:sz w:val="20"/>
              </w:rPr>
            </w:pPr>
            <w:r>
              <w:rPr>
                <w:sz w:val="20"/>
              </w:rPr>
              <w:t>A standard waiver of consequential damages for ENA’s and Trutta’s benefit is included.</w:t>
            </w:r>
          </w:p>
          <w:p>
            <w:pPr>
              <w:pStyle w:val="BodyTextIndent"/>
              <w:ind w:hanging="0" w:start="0" w:end="0"/>
              <w:rPr>
                <w:sz w:val="20"/>
              </w:rPr>
            </w:pPr>
            <w:r>
              <w:rPr>
                <w:sz w:val="20"/>
              </w:rPr>
            </w:r>
          </w:p>
        </w:tc>
      </w:tr>
      <w:tr>
        <w:trPr/>
        <w:tc>
          <w:tcPr>
            <w:tcW w:w="967" w:type="dxa"/>
            <w:tcBorders/>
          </w:tcPr>
          <w:p>
            <w:pPr>
              <w:pStyle w:val="Normal"/>
              <w:keepNext w:val="true"/>
              <w:snapToGrid w:val="false"/>
              <w:ind w:end="-720"/>
              <w:jc w:val="both"/>
              <w:rPr>
                <w:sz w:val="20"/>
              </w:rPr>
            </w:pPr>
            <w:r>
              <w:rPr>
                <w:sz w:val="20"/>
              </w:rPr>
            </w:r>
          </w:p>
        </w:tc>
        <w:tc>
          <w:tcPr>
            <w:tcW w:w="1649" w:type="dxa"/>
            <w:gridSpan w:val="3"/>
            <w:tcBorders/>
          </w:tcPr>
          <w:p>
            <w:pPr>
              <w:pStyle w:val="Normal"/>
              <w:keepNext w:val="true"/>
              <w:snapToGrid w:val="false"/>
              <w:ind w:end="-720"/>
              <w:jc w:val="both"/>
              <w:rPr>
                <w:sz w:val="20"/>
              </w:rPr>
            </w:pPr>
            <w:r>
              <w:rPr>
                <w:sz w:val="20"/>
              </w:rPr>
            </w:r>
          </w:p>
        </w:tc>
        <w:tc>
          <w:tcPr>
            <w:tcW w:w="7233" w:type="dxa"/>
            <w:tcBorders/>
          </w:tcPr>
          <w:p>
            <w:pPr>
              <w:pStyle w:val="BodyTextIndent"/>
              <w:snapToGrid w:val="false"/>
              <w:ind w:hanging="0" w:start="0" w:end="0"/>
              <w:rPr>
                <w:sz w:val="20"/>
              </w:rPr>
            </w:pPr>
            <w:r>
              <w:rPr>
                <w:sz w:val="20"/>
              </w:rPr>
            </w:r>
          </w:p>
        </w:tc>
      </w:tr>
      <w:tr>
        <w:trPr/>
        <w:tc>
          <w:tcPr>
            <w:tcW w:w="967" w:type="dxa"/>
            <w:tcBorders/>
          </w:tcPr>
          <w:p>
            <w:pPr>
              <w:pStyle w:val="Normal"/>
              <w:keepNext w:val="true"/>
              <w:ind w:end="-720"/>
              <w:jc w:val="both"/>
              <w:rPr>
                <w:sz w:val="20"/>
              </w:rPr>
            </w:pPr>
            <w:r>
              <w:rPr>
                <w:sz w:val="20"/>
              </w:rPr>
              <w:t>4.</w:t>
            </w:r>
          </w:p>
        </w:tc>
        <w:tc>
          <w:tcPr>
            <w:tcW w:w="1649" w:type="dxa"/>
            <w:gridSpan w:val="3"/>
            <w:tcBorders/>
          </w:tcPr>
          <w:p>
            <w:pPr>
              <w:pStyle w:val="Normal"/>
              <w:keepNext w:val="true"/>
              <w:ind w:end="-720"/>
              <w:jc w:val="both"/>
              <w:rPr>
                <w:sz w:val="20"/>
              </w:rPr>
            </w:pPr>
            <w:r>
              <w:rPr>
                <w:sz w:val="20"/>
              </w:rPr>
              <w:t xml:space="preserve">Choice of </w:t>
            </w:r>
          </w:p>
          <w:p>
            <w:pPr>
              <w:pStyle w:val="Normal"/>
              <w:keepNext w:val="true"/>
              <w:ind w:end="-720"/>
              <w:jc w:val="both"/>
              <w:rPr>
                <w:sz w:val="20"/>
              </w:rPr>
            </w:pPr>
            <w:r>
              <w:rPr>
                <w:sz w:val="20"/>
              </w:rPr>
              <w:t>Law/Venue:</w:t>
            </w:r>
          </w:p>
        </w:tc>
        <w:tc>
          <w:tcPr>
            <w:tcW w:w="7233" w:type="dxa"/>
            <w:tcBorders/>
          </w:tcPr>
          <w:p>
            <w:pPr>
              <w:pStyle w:val="BodyTextIndent"/>
              <w:ind w:hanging="0" w:start="0" w:end="0"/>
              <w:rPr>
                <w:sz w:val="20"/>
              </w:rPr>
            </w:pPr>
            <w:r>
              <w:rPr>
                <w:sz w:val="20"/>
              </w:rPr>
              <w:t>New York law governs, with a New York venue clause in a form recently approved by Jim Derrick included; there is no mandatory arbitration.</w:t>
            </w:r>
          </w:p>
        </w:tc>
      </w:tr>
    </w:tbl>
    <w:p>
      <w:pPr>
        <w:pStyle w:val="Normal"/>
        <w:keepNext w:val="true"/>
        <w:ind w:end="-720"/>
        <w:jc w:val="both"/>
        <w:rPr>
          <w:sz w:val="20"/>
        </w:rPr>
      </w:pPr>
      <w:r>
        <w:rPr>
          <w:sz w:val="20"/>
        </w:rPr>
      </w:r>
    </w:p>
    <w:sectPr>
      <w:headerReference w:type="default" r:id="rId3"/>
      <w:headerReference w:type="first" r:id="rId4"/>
      <w:footerReference w:type="default" r:id="rId5"/>
      <w:footerReference w:type="first" r:id="rId6"/>
      <w:type w:val="nextPage"/>
      <w:pgSz w:w="12240" w:h="15840"/>
      <w:pgMar w:left="1800" w:right="1800" w:gutter="0" w:header="720" w:top="1440"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/mnt/main-storage/datasets/enron-docs/doc/Saguaro__Sale_to_NRG_.doc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/mnt/main-storage/datasets/enron-docs/doc/Saguaro__Sale_to_NRG_.doc</w:t>
    </w:r>
    <w:r>
      <w:rPr>
        <w:sz w:val="12"/>
      </w:rPr>
      <w:fldChar w:fldCharType="end"/>
    </w:r>
  </w:p>
  <w:p>
    <w:pPr>
      <w:pStyle w:val="Footer"/>
      <w:rPr>
        <w:sz w:val="12"/>
      </w:rPr>
    </w:pPr>
    <w:r>
      <w:rPr>
        <w:sz w:val="1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start="6192" w:end="0"/>
      <w:rPr>
        <w:b/>
        <w:sz w:val="36"/>
      </w:rPr>
    </w:pPr>
    <w:r>
      <w:rPr>
        <w:b/>
        <w:sz w:val="36"/>
      </w:rPr>
      <w:t>Interoffice</w:t>
    </w:r>
  </w:p>
  <w:p>
    <w:pPr>
      <w:pStyle w:val="Header"/>
      <w:ind w:start="6192" w:end="0"/>
      <w:rPr>
        <w:b/>
        <w:sz w:val="36"/>
      </w:rPr>
    </w:pPr>
    <w:r>
      <w:rPr>
        <w:b/>
        <w:sz w:val="36"/>
      </w:rPr>
      <w:t>Memorandum</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Times New Roman" w:hAnsi="Times New Roman;Times New Roman" w:eastAsia="Times New Roman;Times New Roman" w:cs="Times New Roman;Times New Roman"/>
      <w:color w:val="auto"/>
      <w:sz w:val="24"/>
      <w:szCs w:val="20"/>
      <w:lang w:val="en-US" w:bidi="ar-SA" w:eastAsia="zh-CN"/>
    </w:rPr>
  </w:style>
  <w:style w:type="paragraph" w:styleId="Heading1">
    <w:name w:val="heading 1"/>
    <w:basedOn w:val="Normal"/>
    <w:next w:val="Normal"/>
    <w:qFormat/>
    <w:pPr>
      <w:keepNext w:val="true"/>
      <w:numPr>
        <w:ilvl w:val="0"/>
        <w:numId w:val="1"/>
      </w:numPr>
      <w:ind w:hanging="2700" w:start="2700" w:end="-720"/>
      <w:jc w:val="both"/>
      <w:outlineLvl w:val="0"/>
    </w:pPr>
    <w:rPr>
      <w:b/>
      <w:bCs/>
      <w:sz w:val="18"/>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style>
  <w:style w:type="character" w:styleId="WW8Num6z0">
    <w:name w:val="WW8Num6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Arial" w:hAnsi="Arial;Arial" w:cs="Arial;Arial"/>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
    <w:name w:val="Body Text Indent"/>
    <w:basedOn w:val="Normal"/>
    <w:pPr>
      <w:ind w:hanging="2880" w:start="2880" w:end="0"/>
      <w:jc w:val="both"/>
    </w:pPr>
    <w:rPr>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2001-09-17T15:11:00Z</dcterms:created>
  <dc:creator>appinst</dc:creator>
  <dc:description/>
  <dc:language>en-CA</dc:language>
  <cp:lastModifiedBy>Janet M. King</cp:lastModifiedBy>
  <cp:lastPrinted>2001-09-20T16:41:00Z</cp:lastPrinted>
  <dcterms:modified xsi:type="dcterms:W3CDTF">2001-09-20T21:11:00Z</dcterms:modified>
  <cp:revision>20</cp:revision>
  <dc:subject/>
  <dc:title> </dc:title>
</cp:coreProperties>
</file>