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t>Enron Capital &amp; Trade Resources Corp.</w:t>
            </w:r>
          </w:p>
          <w:p>
            <w:pPr>
              <w:pStyle w:val="Normal"/>
              <w:tabs>
                <w:tab w:val="clear" w:pos="720"/>
                <w:tab w:val="left" w:pos="2412" w:leader="none"/>
              </w:tabs>
              <w:ind w:start="1962" w:end="0"/>
              <w:rPr/>
            </w:pPr>
            <w:r>
              <w:rPr/>
              <w:t>P.O. Box 4428</w:t>
            </w:r>
          </w:p>
          <w:p>
            <w:pPr>
              <w:pStyle w:val="Normal"/>
              <w:tabs>
                <w:tab w:val="clear" w:pos="720"/>
                <w:tab w:val="left" w:pos="2412" w:leader="none"/>
              </w:tabs>
              <w:ind w:start="1962" w:end="0"/>
              <w:rPr/>
            </w:pPr>
            <w:r>
              <w:rPr/>
              <w:t>Houston, TX 77210-4428</w:t>
            </w:r>
          </w:p>
          <w:p>
            <w:pPr>
              <w:pStyle w:val="Normal"/>
              <w:tabs>
                <w:tab w:val="clear" w:pos="720"/>
                <w:tab w:val="left" w:pos="2412" w:leader="none"/>
              </w:tabs>
              <w:ind w:start="1962" w:end="0"/>
              <w:rPr/>
            </w:pPr>
            <w:r>
              <w:rPr/>
              <w:t>Phone: (713) 853-3300</w:t>
            </w:r>
          </w:p>
          <w:p>
            <w:pPr>
              <w:pStyle w:val="Normal"/>
              <w:tabs>
                <w:tab w:val="clear" w:pos="720"/>
                <w:tab w:val="left" w:pos="2412" w:leader="none"/>
              </w:tabs>
              <w:ind w:start="1962" w:end="0"/>
              <w:rPr/>
            </w:pPr>
            <w:r>
              <w:rPr/>
              <w:t>Fax: (713)646-4816</w:t>
            </w:r>
          </w:p>
          <w:p>
            <w:pPr>
              <w:pStyle w:val="Normal"/>
              <w:tabs>
                <w:tab w:val="clear" w:pos="720"/>
                <w:tab w:val="left" w:pos="2412" w:leader="none"/>
              </w:tabs>
              <w:ind w:start="1962" w:end="0"/>
              <w:rPr/>
            </w:pPr>
            <w:r>
              <w:rPr/>
            </w:r>
          </w:p>
        </w:tc>
      </w:tr>
    </w:tbl>
    <w:p>
      <w:pPr>
        <w:pStyle w:val="Normal"/>
        <w:rPr/>
      </w:pPr>
      <w:r>
        <w:rPr/>
      </w:r>
    </w:p>
    <w:p>
      <w:pPr>
        <w:pStyle w:val="Normal"/>
        <w:rPr/>
      </w:pPr>
      <w:r>
        <w:rPr/>
        <w:t>May 28, 1999</w:t>
      </w:r>
    </w:p>
    <w:p>
      <w:pPr>
        <w:pStyle w:val="Normal"/>
        <w:rPr/>
      </w:pPr>
      <w:r>
        <w:rPr/>
      </w:r>
    </w:p>
    <w:p>
      <w:pPr>
        <w:pStyle w:val="Normal"/>
        <w:rPr/>
      </w:pPr>
      <w:r>
        <w:rPr/>
        <w:t>Saga Petroleum A.S.</w:t>
      </w:r>
    </w:p>
    <w:p>
      <w:pPr>
        <w:pStyle w:val="Normal"/>
        <w:rPr/>
      </w:pPr>
      <w:r>
        <w:rPr/>
        <w:t>Kjurboveien 16</w:t>
      </w:r>
    </w:p>
    <w:p>
      <w:pPr>
        <w:pStyle w:val="Normal"/>
        <w:rPr/>
      </w:pPr>
      <w:r>
        <w:rPr/>
        <w:t>Sanvika Norway  N-1302</w:t>
      </w:r>
    </w:p>
    <w:p>
      <w:pPr>
        <w:pStyle w:val="Normal"/>
        <w:rPr/>
      </w:pPr>
      <w:r>
        <w:rPr/>
        <w:t>Attention:  Bjorn Mauritzer</w:t>
      </w:r>
    </w:p>
    <w:p>
      <w:pPr>
        <w:pStyle w:val="Normal"/>
        <w:rPr/>
      </w:pPr>
      <w:r>
        <w:rPr/>
      </w:r>
    </w:p>
    <w:p>
      <w:pPr>
        <w:pStyle w:val="Normal"/>
        <w:rPr/>
      </w:pPr>
      <w:r>
        <w:rPr/>
        <w:t>Fax No.:  90114767126601</w:t>
      </w:r>
    </w:p>
    <w:p>
      <w:pPr>
        <w:pStyle w:val="Normal"/>
        <w:rPr/>
      </w:pPr>
      <w:r>
        <w:rPr/>
        <w:t>Telephone No.:  90114767126600</w:t>
      </w:r>
    </w:p>
    <w:p>
      <w:pPr>
        <w:pStyle w:val="Normal"/>
        <w:rPr/>
      </w:pPr>
      <w:r>
        <w:rPr/>
      </w:r>
    </w:p>
    <w:p>
      <w:pPr>
        <w:pStyle w:val="Normal"/>
        <w:rPr/>
      </w:pPr>
      <w:r>
        <w:rPr/>
        <w:t>Re:</w:t>
        <w:tab/>
        <w:t>SWAP TRANSACTION ECT Contract No. EX6179.1</w:t>
      </w:r>
    </w:p>
    <w:p>
      <w:pPr>
        <w:pStyle w:val="Normal"/>
        <w:rPr/>
      </w:pPr>
      <w:r>
        <w:rPr/>
      </w:r>
    </w:p>
    <w:p>
      <w:pPr>
        <w:pStyle w:val="Normal"/>
        <w:rPr/>
      </w:pPr>
      <w:r>
        <w:rPr/>
        <w:t>Dear Sirs:</w:t>
      </w:r>
    </w:p>
    <w:p>
      <w:pPr>
        <w:pStyle w:val="Normal"/>
        <w:rPr/>
      </w:pPr>
      <w:r>
        <w:rPr/>
      </w:r>
    </w:p>
    <w:p>
      <w:pPr>
        <w:pStyle w:val="Normal"/>
        <w:jc w:val="both"/>
        <w:rPr/>
      </w:pPr>
      <w:r>
        <w:rPr/>
        <w:t>The purpose of this document is to confirm the terms and conditions of the transaction entered into between Saga Petroleum A.S. (“Counterparty”) and Enron Capital &amp; Trade Resources Corp. (“ECT”) on May 28, 1999 (the “Transaction”).  This document constitutes a “Confirmation” as referred to in the ISDA Agreement specified below.  This is a Confirmation of the following Transaction entered into with you pursuant to a telephone conversation on May 28, 1999 between John Mee of ECT and Bjorn Mauritzer of Counterparty.</w:t>
      </w:r>
    </w:p>
    <w:p>
      <w:pPr>
        <w:pStyle w:val="Normal"/>
        <w:jc w:val="both"/>
        <w:rPr/>
      </w:pPr>
      <w:r>
        <w:rPr/>
      </w:r>
    </w:p>
    <w:p>
      <w:pPr>
        <w:pStyle w:val="Normal"/>
        <w:jc w:val="both"/>
        <w:rPr/>
      </w:pPr>
      <w:r>
        <w:rPr/>
        <w:t>1.</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u w:val="single"/>
        </w:rPr>
      </w:pPr>
      <w:r>
        <w:rPr>
          <w:u w:val="single"/>
        </w:rPr>
        <w:t>General Terms:</w:t>
      </w:r>
    </w:p>
    <w:p>
      <w:pPr>
        <w:pStyle w:val="Normal"/>
        <w:jc w:val="both"/>
        <w:rPr>
          <w:u w:val="single"/>
        </w:rPr>
      </w:pPr>
      <w:r>
        <w:rPr>
          <w:u w:val="single"/>
        </w:rPr>
      </w:r>
    </w:p>
    <w:tbl>
      <w:tblPr>
        <w:tblW w:w="8856" w:type="dxa"/>
        <w:jc w:val="start"/>
        <w:tblInd w:w="0" w:type="dxa"/>
        <w:tblLayout w:type="fixed"/>
        <w:tblCellMar>
          <w:top w:w="0" w:type="dxa"/>
          <w:start w:w="108" w:type="dxa"/>
          <w:bottom w:w="0" w:type="dxa"/>
          <w:end w:w="108" w:type="dxa"/>
        </w:tblCellMar>
      </w:tblPr>
      <w:tblGrid>
        <w:gridCol w:w="3618"/>
        <w:gridCol w:w="5238"/>
      </w:tblGrid>
      <w:tr>
        <w:trPr/>
        <w:tc>
          <w:tcPr>
            <w:tcW w:w="3618" w:type="dxa"/>
            <w:tcBorders/>
          </w:tcPr>
          <w:p>
            <w:pPr>
              <w:pStyle w:val="Normal"/>
              <w:spacing w:before="60" w:after="0"/>
              <w:jc w:val="both"/>
              <w:rPr/>
            </w:pPr>
            <w:r>
              <w:rPr/>
              <w:t>Transaction Type:</w:t>
            </w:r>
          </w:p>
        </w:tc>
        <w:tc>
          <w:tcPr>
            <w:tcW w:w="5238" w:type="dxa"/>
            <w:tcBorders/>
          </w:tcPr>
          <w:p>
            <w:pPr>
              <w:pStyle w:val="Normal"/>
              <w:spacing w:before="60" w:after="0"/>
              <w:jc w:val="both"/>
              <w:rPr/>
            </w:pPr>
            <w:r>
              <w:rPr/>
              <w:t>Swap</w:t>
            </w:r>
          </w:p>
          <w:p>
            <w:pPr>
              <w:pStyle w:val="Normal"/>
              <w:spacing w:before="60" w:after="0"/>
              <w:jc w:val="both"/>
              <w:rPr/>
            </w:pPr>
            <w:r>
              <w:rPr/>
            </w:r>
          </w:p>
        </w:tc>
      </w:tr>
      <w:tr>
        <w:trPr/>
        <w:tc>
          <w:tcPr>
            <w:tcW w:w="3618" w:type="dxa"/>
            <w:tcBorders/>
          </w:tcPr>
          <w:p>
            <w:pPr>
              <w:pStyle w:val="Normal"/>
              <w:spacing w:before="60" w:after="0"/>
              <w:jc w:val="both"/>
              <w:rPr/>
            </w:pPr>
            <w:r>
              <w:rPr/>
              <w:t>Notional Quantity</w:t>
            </w:r>
          </w:p>
          <w:p>
            <w:pPr>
              <w:pStyle w:val="Normal"/>
              <w:spacing w:before="60" w:after="0"/>
              <w:jc w:val="both"/>
              <w:rPr/>
            </w:pPr>
            <w:r>
              <w:rPr/>
              <w:t>per Calculation Period:</w:t>
            </w:r>
          </w:p>
        </w:tc>
        <w:tc>
          <w:tcPr>
            <w:tcW w:w="5238" w:type="dxa"/>
            <w:tcBorders/>
          </w:tcPr>
          <w:p>
            <w:pPr>
              <w:pStyle w:val="Normal"/>
              <w:snapToGrid w:val="false"/>
              <w:spacing w:before="60" w:after="0"/>
              <w:jc w:val="both"/>
              <w:rPr/>
            </w:pPr>
            <w:r>
              <w:rPr/>
            </w:r>
          </w:p>
          <w:p>
            <w:pPr>
              <w:pStyle w:val="Normal"/>
              <w:spacing w:before="60" w:after="0"/>
              <w:jc w:val="both"/>
              <w:rPr/>
            </w:pPr>
            <w:r>
              <w:rPr/>
              <w:t xml:space="preserve">300,000 Barrels </w:t>
            </w:r>
          </w:p>
        </w:tc>
      </w:tr>
      <w:tr>
        <w:trPr/>
        <w:tc>
          <w:tcPr>
            <w:tcW w:w="3618" w:type="dxa"/>
            <w:tcBorders/>
          </w:tcPr>
          <w:p>
            <w:pPr>
              <w:pStyle w:val="Normal"/>
              <w:snapToGrid w:val="false"/>
              <w:spacing w:before="60" w:after="0"/>
              <w:jc w:val="both"/>
              <w:rPr/>
            </w:pPr>
            <w:r>
              <w:rPr/>
            </w:r>
          </w:p>
          <w:p>
            <w:pPr>
              <w:pStyle w:val="Normal"/>
              <w:spacing w:before="60" w:after="0"/>
              <w:jc w:val="both"/>
              <w:rPr/>
            </w:pPr>
            <w:r>
              <w:rPr/>
              <w:t>Commodity:</w:t>
            </w:r>
          </w:p>
        </w:tc>
        <w:tc>
          <w:tcPr>
            <w:tcW w:w="5238" w:type="dxa"/>
            <w:tcBorders/>
          </w:tcPr>
          <w:p>
            <w:pPr>
              <w:pStyle w:val="Normal"/>
              <w:snapToGrid w:val="false"/>
              <w:spacing w:before="60" w:after="0"/>
              <w:jc w:val="both"/>
              <w:rPr/>
            </w:pPr>
            <w:r>
              <w:rPr/>
            </w:r>
          </w:p>
          <w:p>
            <w:pPr>
              <w:pStyle w:val="Normal"/>
              <w:spacing w:before="60" w:after="0"/>
              <w:jc w:val="both"/>
              <w:rPr/>
            </w:pPr>
            <w:r>
              <w:rPr/>
              <w:t>Crude Oil - Brent</w:t>
            </w:r>
          </w:p>
          <w:p>
            <w:pPr>
              <w:pStyle w:val="Normal"/>
              <w:spacing w:before="60" w:after="0"/>
              <w:jc w:val="both"/>
              <w:rPr/>
            </w:pPr>
            <w:r>
              <w:rPr/>
            </w:r>
          </w:p>
        </w:tc>
      </w:tr>
      <w:tr>
        <w:trPr/>
        <w:tc>
          <w:tcPr>
            <w:tcW w:w="3618" w:type="dxa"/>
            <w:tcBorders/>
          </w:tcPr>
          <w:p>
            <w:pPr>
              <w:pStyle w:val="Normal"/>
              <w:spacing w:before="60" w:after="0"/>
              <w:jc w:val="both"/>
              <w:rPr/>
            </w:pPr>
            <w:r>
              <w:rPr/>
              <w:t>Commodity Unit:</w:t>
            </w:r>
          </w:p>
        </w:tc>
        <w:tc>
          <w:tcPr>
            <w:tcW w:w="5238" w:type="dxa"/>
            <w:tcBorders/>
          </w:tcPr>
          <w:p>
            <w:pPr>
              <w:pStyle w:val="Normal"/>
              <w:spacing w:before="60" w:after="0"/>
              <w:jc w:val="both"/>
              <w:rPr/>
            </w:pPr>
            <w:r>
              <w:rPr/>
              <w:t>Barrels (BBL) (42 U.S. Gallons)</w:t>
            </w:r>
          </w:p>
          <w:p>
            <w:pPr>
              <w:pStyle w:val="Normal"/>
              <w:spacing w:before="60" w:after="0"/>
              <w:jc w:val="both"/>
              <w:rPr/>
            </w:pPr>
            <w:r>
              <w:rPr/>
            </w:r>
          </w:p>
        </w:tc>
      </w:tr>
      <w:tr>
        <w:trPr/>
        <w:tc>
          <w:tcPr>
            <w:tcW w:w="3618" w:type="dxa"/>
            <w:tcBorders/>
          </w:tcPr>
          <w:p>
            <w:pPr>
              <w:pStyle w:val="Normal"/>
              <w:spacing w:before="60" w:after="0"/>
              <w:jc w:val="both"/>
              <w:rPr/>
            </w:pPr>
            <w:r>
              <w:rPr/>
              <w:t>Trade Date:</w:t>
            </w:r>
          </w:p>
        </w:tc>
        <w:tc>
          <w:tcPr>
            <w:tcW w:w="5238" w:type="dxa"/>
            <w:tcBorders/>
          </w:tcPr>
          <w:p>
            <w:pPr>
              <w:pStyle w:val="Normal"/>
              <w:spacing w:before="60" w:after="0"/>
              <w:jc w:val="both"/>
              <w:rPr/>
            </w:pPr>
            <w:r>
              <w:rPr/>
              <w:t xml:space="preserve">May 28, 1999 </w:t>
            </w:r>
          </w:p>
          <w:p>
            <w:pPr>
              <w:pStyle w:val="Normal"/>
              <w:spacing w:before="60" w:after="0"/>
              <w:ind w:end="-270"/>
              <w:jc w:val="both"/>
              <w:rPr/>
            </w:pPr>
            <w:r>
              <w:rPr/>
            </w:r>
          </w:p>
        </w:tc>
      </w:tr>
      <w:tr>
        <w:trPr/>
        <w:tc>
          <w:tcPr>
            <w:tcW w:w="3618" w:type="dxa"/>
            <w:tcBorders/>
          </w:tcPr>
          <w:p>
            <w:pPr>
              <w:pStyle w:val="Normal"/>
              <w:spacing w:before="60" w:after="0"/>
              <w:jc w:val="both"/>
              <w:rPr/>
            </w:pPr>
            <w:r>
              <w:rPr/>
              <w:t>Calculation Period(s):</w:t>
            </w:r>
          </w:p>
        </w:tc>
        <w:tc>
          <w:tcPr>
            <w:tcW w:w="5238" w:type="dxa"/>
            <w:tcBorders/>
          </w:tcPr>
          <w:p>
            <w:pPr>
              <w:pStyle w:val="BodyText"/>
              <w:spacing w:before="60" w:after="0"/>
              <w:ind w:end="180"/>
              <w:rPr/>
            </w:pPr>
            <w:r>
              <w:rPr/>
              <w:t>The period commencing on June 1, 1999 and ending on June 03, 1999.</w:t>
            </w:r>
          </w:p>
          <w:p>
            <w:pPr>
              <w:pStyle w:val="Normal"/>
              <w:spacing w:before="60" w:after="0"/>
              <w:jc w:val="both"/>
              <w:rPr/>
            </w:pPr>
            <w:r>
              <w:rPr/>
            </w:r>
          </w:p>
        </w:tc>
      </w:tr>
      <w:tr>
        <w:trPr/>
        <w:tc>
          <w:tcPr>
            <w:tcW w:w="3618" w:type="dxa"/>
            <w:tcBorders/>
          </w:tcPr>
          <w:p>
            <w:pPr>
              <w:pStyle w:val="Normal"/>
              <w:spacing w:before="60" w:after="0"/>
              <w:jc w:val="both"/>
              <w:rPr/>
            </w:pPr>
            <w:r>
              <w:rPr/>
              <w:t>Payment Date(s):</w:t>
              <w:tab/>
            </w:r>
          </w:p>
        </w:tc>
        <w:tc>
          <w:tcPr>
            <w:tcW w:w="5238" w:type="dxa"/>
            <w:tcBorders/>
          </w:tcPr>
          <w:p>
            <w:pPr>
              <w:pStyle w:val="Normal"/>
              <w:spacing w:before="60" w:after="0"/>
              <w:jc w:val="both"/>
              <w:rPr/>
            </w:pPr>
            <w:r>
              <w:rPr/>
              <w:t>The date five (5) Business Days following the date on which the First Floating Price and the Second Floating Price are determinable</w:t>
            </w:r>
          </w:p>
        </w:tc>
      </w:tr>
      <w:tr>
        <w:trPr/>
        <w:tc>
          <w:tcPr>
            <w:tcW w:w="3618" w:type="dxa"/>
            <w:tcBorders/>
          </w:tcPr>
          <w:p>
            <w:pPr>
              <w:pStyle w:val="Normal"/>
              <w:spacing w:before="60" w:after="0"/>
              <w:jc w:val="both"/>
              <w:rPr/>
            </w:pPr>
            <w:r>
              <w:rPr>
                <w:u w:val="single"/>
              </w:rPr>
              <w:t>First Floating  Amount Details</w:t>
            </w:r>
            <w:r>
              <w:rPr/>
              <w:t>:</w:t>
            </w:r>
          </w:p>
        </w:tc>
        <w:tc>
          <w:tcPr>
            <w:tcW w:w="5238" w:type="dxa"/>
            <w:tcBorders/>
          </w:tcPr>
          <w:p>
            <w:pPr>
              <w:pStyle w:val="Normal"/>
              <w:snapToGrid w:val="false"/>
              <w:spacing w:before="60" w:after="0"/>
              <w:jc w:val="both"/>
              <w:rPr/>
            </w:pPr>
            <w:r>
              <w:rPr/>
            </w:r>
          </w:p>
        </w:tc>
      </w:tr>
      <w:tr>
        <w:trPr/>
        <w:tc>
          <w:tcPr>
            <w:tcW w:w="3618" w:type="dxa"/>
            <w:tcBorders/>
          </w:tcPr>
          <w:p>
            <w:pPr>
              <w:pStyle w:val="Normal"/>
              <w:spacing w:before="60" w:after="0"/>
              <w:jc w:val="both"/>
              <w:rPr/>
            </w:pPr>
            <w:r>
              <w:rPr/>
              <w:t>First Floating Price Payor:</w:t>
            </w:r>
          </w:p>
          <w:p>
            <w:pPr>
              <w:pStyle w:val="Normal"/>
              <w:spacing w:before="60" w:after="0"/>
              <w:jc w:val="both"/>
              <w:rPr/>
            </w:pPr>
            <w:r>
              <w:rPr/>
            </w:r>
          </w:p>
        </w:tc>
        <w:tc>
          <w:tcPr>
            <w:tcW w:w="5238" w:type="dxa"/>
            <w:tcBorders/>
          </w:tcPr>
          <w:p>
            <w:pPr>
              <w:pStyle w:val="Normal"/>
              <w:spacing w:before="60" w:after="0"/>
              <w:jc w:val="both"/>
              <w:rPr/>
            </w:pPr>
            <w:r>
              <w:rPr/>
              <w:t>ECT</w:t>
            </w:r>
          </w:p>
        </w:tc>
      </w:tr>
      <w:tr>
        <w:trPr/>
        <w:tc>
          <w:tcPr>
            <w:tcW w:w="3618" w:type="dxa"/>
            <w:tcBorders/>
          </w:tcPr>
          <w:p>
            <w:pPr>
              <w:pStyle w:val="Normal"/>
              <w:spacing w:before="60" w:after="0"/>
              <w:jc w:val="both"/>
              <w:rPr/>
            </w:pPr>
            <w:r>
              <w:rPr/>
              <w:t>First Floating Price:</w:t>
            </w:r>
          </w:p>
        </w:tc>
        <w:tc>
          <w:tcPr>
            <w:tcW w:w="5238" w:type="dxa"/>
            <w:tcBorders/>
          </w:tcPr>
          <w:p>
            <w:pPr>
              <w:pStyle w:val="Normal"/>
              <w:spacing w:before="60" w:after="0"/>
              <w:jc w:val="both"/>
              <w:rPr/>
            </w:pPr>
            <w:r>
              <w:rPr/>
              <w:t xml:space="preserve">The mean of the arithmetic average of the daily high and low quotations for Crude Oil published in the table entitled  “Crude Price Assessments:,  International, US$/BBL: Brent (DTD)” in the issues of </w:t>
            </w:r>
            <w:r>
              <w:rPr>
                <w:u w:val="single"/>
              </w:rPr>
              <w:t>Platt’s Oilgram Price Report</w:t>
            </w:r>
            <w:r>
              <w:rPr/>
              <w:t xml:space="preserve"> that report prices effective for such Business Days during the Calculation Period </w:t>
            </w:r>
            <w:r>
              <w:rPr>
                <w:b/>
              </w:rPr>
              <w:t>plus $0.6400.</w:t>
            </w:r>
          </w:p>
          <w:p>
            <w:pPr>
              <w:pStyle w:val="Normal"/>
              <w:spacing w:before="60" w:after="0"/>
              <w:jc w:val="both"/>
              <w:rPr/>
            </w:pPr>
            <w:r>
              <w:rPr/>
              <w:t xml:space="preserve"> </w:t>
            </w:r>
          </w:p>
        </w:tc>
      </w:tr>
      <w:tr>
        <w:trPr/>
        <w:tc>
          <w:tcPr>
            <w:tcW w:w="3618" w:type="dxa"/>
            <w:tcBorders/>
          </w:tcPr>
          <w:p>
            <w:pPr>
              <w:pStyle w:val="Normal"/>
              <w:spacing w:before="60" w:after="0"/>
              <w:jc w:val="both"/>
              <w:rPr/>
            </w:pPr>
            <w:r>
              <w:rPr>
                <w:u w:val="single"/>
              </w:rPr>
              <w:t>Second</w:t>
            </w:r>
            <w:r>
              <w:rPr/>
              <w:t xml:space="preserve"> </w:t>
            </w:r>
            <w:r>
              <w:rPr>
                <w:u w:val="single"/>
              </w:rPr>
              <w:t>Floating Amount Details</w:t>
            </w:r>
            <w:r>
              <w:rPr/>
              <w:t>:</w:t>
            </w:r>
          </w:p>
        </w:tc>
        <w:tc>
          <w:tcPr>
            <w:tcW w:w="5238" w:type="dxa"/>
            <w:tcBorders/>
          </w:tcPr>
          <w:p>
            <w:pPr>
              <w:pStyle w:val="Normal"/>
              <w:snapToGrid w:val="false"/>
              <w:spacing w:before="60" w:after="0"/>
              <w:jc w:val="both"/>
              <w:rPr/>
            </w:pPr>
            <w:r>
              <w:rPr/>
            </w:r>
          </w:p>
        </w:tc>
      </w:tr>
      <w:tr>
        <w:trPr/>
        <w:tc>
          <w:tcPr>
            <w:tcW w:w="3618" w:type="dxa"/>
            <w:tcBorders/>
          </w:tcPr>
          <w:p>
            <w:pPr>
              <w:pStyle w:val="Normal"/>
              <w:spacing w:before="60" w:after="0"/>
              <w:jc w:val="both"/>
              <w:rPr/>
            </w:pPr>
            <w:r>
              <w:rPr/>
              <w:t>Second Floating Price Payor:</w:t>
            </w:r>
          </w:p>
          <w:p>
            <w:pPr>
              <w:pStyle w:val="Normal"/>
              <w:spacing w:before="60" w:after="0"/>
              <w:jc w:val="both"/>
              <w:rPr/>
            </w:pPr>
            <w:r>
              <w:rPr/>
            </w:r>
          </w:p>
        </w:tc>
        <w:tc>
          <w:tcPr>
            <w:tcW w:w="5238" w:type="dxa"/>
            <w:tcBorders/>
          </w:tcPr>
          <w:p>
            <w:pPr>
              <w:pStyle w:val="Normal"/>
              <w:spacing w:before="60" w:after="0"/>
              <w:jc w:val="both"/>
              <w:rPr/>
            </w:pPr>
            <w:r>
              <w:rPr/>
              <w:t>Counterparty</w:t>
            </w:r>
          </w:p>
        </w:tc>
      </w:tr>
      <w:tr>
        <w:trPr/>
        <w:tc>
          <w:tcPr>
            <w:tcW w:w="3618" w:type="dxa"/>
            <w:tcBorders/>
          </w:tcPr>
          <w:p>
            <w:pPr>
              <w:pStyle w:val="Normal"/>
              <w:spacing w:before="60" w:after="0"/>
              <w:jc w:val="both"/>
              <w:rPr/>
            </w:pPr>
            <w:r>
              <w:rPr/>
              <w:t>Second Floating Price:</w:t>
            </w:r>
          </w:p>
        </w:tc>
        <w:tc>
          <w:tcPr>
            <w:tcW w:w="5238" w:type="dxa"/>
            <w:tcBorders/>
          </w:tcPr>
          <w:p>
            <w:pPr>
              <w:pStyle w:val="Normal"/>
              <w:jc w:val="both"/>
              <w:rPr/>
            </w:pPr>
            <w:r>
              <w:rPr/>
              <w:t>The average of the daily settlement prices for the prompt month of the IPE Brent Crude Oil Futures Contract for each Commodity Business Day for the applicable Calculation Period, with the exception of the last Commodity Business Day of the prompt month on which day the settlement price of the Second Nearby Month will be used.</w:t>
            </w:r>
          </w:p>
          <w:p>
            <w:pPr>
              <w:pStyle w:val="Normal"/>
              <w:jc w:val="both"/>
              <w:rPr/>
            </w:pPr>
            <w:r>
              <w:rPr/>
            </w:r>
          </w:p>
        </w:tc>
      </w:tr>
      <w:tr>
        <w:trPr/>
        <w:tc>
          <w:tcPr>
            <w:tcW w:w="3618" w:type="dxa"/>
            <w:tcBorders/>
          </w:tcPr>
          <w:p>
            <w:pPr>
              <w:pStyle w:val="Normal"/>
              <w:spacing w:before="60" w:after="0"/>
              <w:jc w:val="both"/>
              <w:rPr/>
            </w:pPr>
            <w:r>
              <w:rPr/>
              <w:t>Contractual Currency:</w:t>
            </w:r>
          </w:p>
        </w:tc>
        <w:tc>
          <w:tcPr>
            <w:tcW w:w="5238" w:type="dxa"/>
            <w:tcBorders/>
          </w:tcPr>
          <w:p>
            <w:pPr>
              <w:pStyle w:val="Normal"/>
              <w:spacing w:before="60" w:after="0"/>
              <w:jc w:val="both"/>
              <w:rPr/>
            </w:pPr>
            <w:r>
              <w:rPr/>
              <w:t>U.S. Dollars</w:t>
            </w:r>
          </w:p>
        </w:tc>
      </w:tr>
    </w:tbl>
    <w:p>
      <w:pPr>
        <w:pStyle w:val="Normal"/>
        <w:jc w:val="both"/>
        <w:rPr/>
      </w:pPr>
      <w:r>
        <w:rPr/>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2.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ECT:</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ind w:hanging="1440" w:end="0"/>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Nations Bank of Texas,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Capital &amp; Trade Resources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1992 Master Agreement (Multicurrency-Cross Border) (the “ISDA Agreement”) published by the International Swaps and Derivatives Association (“ISDA”), as modified by this Confirmation.  Each party acknowledges that it has a copy of the ISDA Agreement and it has read and understands the terms and conditions thereof.  The definitions and provisions contained in the 1993 ISDA Commodity Derivatives Definitions and the 1991 ISDA Definitions (the “Definitions”), as published by ISDA are incorporated into this Confirmation.  In the event of any inconsistency between the Definitions and this Confirmation, this Confirmation will prevail.  In the event of any inconsistency between the 1993 ISDA Commodity Derivative Definitions and the 1991 ISDA Definitions, the 1993 ISDA Commodity Derivatives Definitions will prevail.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ECT and Counterparty agree to promptly negotiate in good faith and enter into a master agreement as soon as reasonably possible in the form of the ISDA Agreement and a separate Credit Support Annex with such modifications as ECT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(as defined in the ISDA Agreement) forms, documents or certificates as required pursuant to Section (II) of </w:t>
      </w:r>
      <w:r>
        <w:rPr>
          <w:u w:val="single"/>
        </w:rPr>
        <w:t>Annex A</w:t>
      </w:r>
      <w:r>
        <w:rPr/>
        <w:t>.</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Header"/>
        <w:tabs>
          <w:tab w:val="left" w:pos="720" w:leader="none"/>
          <w:tab w:val="center" w:pos="4320" w:leader="none"/>
          <w:tab w:val="right" w:pos="8640" w:leader="none"/>
        </w:tabs>
        <w:jc w:val="both"/>
        <w:rPr/>
      </w:pPr>
      <w:r>
        <w:rPr>
          <w:sz w:val="20"/>
        </w:rPr>
        <w:t>6.</w:t>
        <w:tab/>
      </w:r>
      <w:r>
        <w:rPr>
          <w:b/>
          <w:sz w:val="20"/>
          <w:u w:val="single"/>
        </w:rPr>
        <w:t>Governing Law/</w:t>
      </w:r>
      <w:r>
        <w:rPr>
          <w:sz w:val="20"/>
        </w:rPr>
        <w:tab/>
      </w:r>
      <w:r>
        <w:rPr>
          <w:b/>
          <w:sz w:val="20"/>
          <w:u w:val="single"/>
        </w:rPr>
        <w:t>Jurisdiction/Waiver of Jury Trial</w:t>
      </w:r>
      <w:r>
        <w:rPr>
          <w:b/>
          <w:sz w:val="20"/>
        </w:rPr>
        <w:t>.</w:t>
      </w:r>
      <w:r>
        <w:rPr>
          <w:sz w:val="20"/>
        </w:rPr>
        <w:t xml:space="preserve">  This Confirmation and the ISDA Agreement will be governed by and construed in accordance with the laws of the State of New York (without reference to choice of law doctrine).  Each of the parties irrevocably submits to the jurisdiction of the Supreme Court of the State of New York, County of New York, the U.S. District Court of the Southern District of New York and any appellate court or body thereto (collectively, the "New York Courts"), over any suit, action or proceeding arising out of or relating to this Agreement.  Each of the parties hereto irrevocably waives, to the fullest extent permitted by law, any objection which it may now or hereafter have to the laying of the venue of any such suit, action or proceeding brought in any such court, any claim that any such suit, action or proceeding brought in such court has been brought in an inconvenient forum and any right to which it may be entitled on account of place of residence or domicile, and further agrees that a final judgment in any such suit, action or proceeding brought in any such court shall be conclusive and binding upon such party.</w:t>
      </w:r>
    </w:p>
    <w:p>
      <w:pPr>
        <w:pStyle w:val="Header"/>
        <w:tabs>
          <w:tab w:val="left" w:pos="720" w:leader="none"/>
          <w:tab w:val="center" w:pos="4320" w:leader="none"/>
          <w:tab w:val="right" w:pos="8640" w:leader="none"/>
        </w:tabs>
        <w:jc w:val="both"/>
        <w:rPr>
          <w:b/>
          <w:sz w:val="20"/>
          <w:u w:val="single"/>
        </w:rPr>
      </w:pPr>
      <w:r>
        <w:rPr>
          <w:b/>
          <w:sz w:val="20"/>
          <w:u w:val="single"/>
        </w:rPr>
      </w:r>
    </w:p>
    <w:p>
      <w:pPr>
        <w:pStyle w:val="Header"/>
        <w:tabs>
          <w:tab w:val="left" w:pos="720" w:leader="none"/>
          <w:tab w:val="center" w:pos="4320" w:leader="none"/>
          <w:tab w:val="right" w:pos="8640" w:leader="none"/>
        </w:tabs>
        <w:jc w:val="both"/>
        <w:rPr>
          <w:sz w:val="20"/>
        </w:rPr>
      </w:pPr>
      <w:r>
        <w:rPr>
          <w:sz w:val="20"/>
        </w:rPr>
        <w:t>Each party to this Transaction hereby irrevocably waives any and all right to trial by jury with respect to any legal proceeding arising out of or relating to this Transaction contemplated hereby.</w:t>
      </w:r>
    </w:p>
    <w:p>
      <w:pPr>
        <w:pStyle w:val="Normal"/>
        <w:jc w:val="both"/>
        <w:rPr>
          <w:sz w:val="20"/>
        </w:rPr>
      </w:pPr>
      <w:r>
        <w:rPr>
          <w:sz w:val="20"/>
        </w:rPr>
      </w:r>
    </w:p>
    <w:p>
      <w:pPr>
        <w:pStyle w:val="Normal"/>
        <w:jc w:val="both"/>
        <w:rPr/>
      </w:pPr>
      <w:r>
        <w:rPr/>
        <w:t>7.</w:t>
        <w:tab/>
      </w:r>
      <w:r>
        <w:rPr>
          <w:b/>
          <w:u w:val="single"/>
        </w:rPr>
        <w:t>Calculation Agent</w:t>
      </w:r>
      <w:r>
        <w:rPr>
          <w:b/>
        </w:rPr>
        <w:t>.</w:t>
      </w:r>
      <w:r>
        <w:rPr/>
        <w:t xml:space="preserve">  The Calculation Agent shall be ECT.</w:t>
      </w:r>
    </w:p>
    <w:p>
      <w:pPr>
        <w:pStyle w:val="Normal"/>
        <w:jc w:val="both"/>
        <w:rPr/>
      </w:pPr>
      <w:r>
        <w:rPr/>
      </w:r>
    </w:p>
    <w:p>
      <w:pPr>
        <w:pStyle w:val="Normal"/>
        <w:tabs>
          <w:tab w:val="clear" w:pos="720"/>
          <w:tab w:val="left" w:pos="810" w:leader="none"/>
          <w:tab w:val="left" w:pos="1170" w:leader="none"/>
        </w:tabs>
        <w:jc w:val="both"/>
        <w:rPr>
          <w:rFonts w:ascii="Arial Narrow" w:hAnsi="Arial Narrow" w:cs="Arial Narrow"/>
        </w:rPr>
      </w:pPr>
      <w:r>
        <w:rPr/>
        <w:t>8.</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9.</w:t>
        <w:tab/>
      </w:r>
      <w:r>
        <w:rPr>
          <w:b/>
          <w:u w:val="single"/>
        </w:rPr>
        <w:t>Agreement to Deliver Documents</w:t>
      </w:r>
      <w:r>
        <w:rPr>
          <w:b/>
        </w:rPr>
        <w:t>.</w:t>
      </w:r>
      <w:r>
        <w:rPr/>
        <w:t xml:space="preserve">  For the purpose of Section 4(a), Counterparty agrees to deliver copies of its articles of association and bylaws (or other constituent documents).</w:t>
      </w:r>
      <w:r>
        <w:br w:type="page"/>
      </w:r>
    </w:p>
    <w:p>
      <w:pPr>
        <w:pStyle w:val="Normal"/>
        <w:jc w:val="both"/>
        <w:rPr/>
      </w:pPr>
      <w:r>
        <w:rPr/>
      </w:r>
    </w:p>
    <w:p>
      <w:pPr>
        <w:pStyle w:val="Normal"/>
        <w:keepNext w:val="true"/>
        <w:jc w:val="both"/>
        <w:rPr>
          <w:b/>
        </w:rPr>
      </w:pPr>
      <w:r>
        <w:rPr/>
        <w:t>10.</w:t>
        <w:tab/>
      </w:r>
      <w:r>
        <w:rPr>
          <w:b/>
          <w:u w:val="single"/>
        </w:rPr>
        <w:t>Offices.</w:t>
      </w:r>
    </w:p>
    <w:p>
      <w:pPr>
        <w:pStyle w:val="Normal"/>
        <w:keepNext w:val="true"/>
        <w:rPr>
          <w:b/>
        </w:rPr>
      </w:pPr>
      <w:r>
        <w:rPr>
          <w:b/>
        </w:rPr>
      </w:r>
    </w:p>
    <w:p>
      <w:pPr>
        <w:pStyle w:val="Normal"/>
        <w:keepNext w:val="true"/>
        <w:jc w:val="both"/>
        <w:rPr/>
      </w:pPr>
      <w:r>
        <w:rPr/>
        <w:tab/>
        <w:t>(a)</w:t>
        <w:tab/>
        <w:t>The office of Enron Capital &amp; Trade Resources Corp. is and copies of any notices should be delivered to 1400 Smith Street, Houston, Texas  77002, Attention:  Director, Documentation Department, Facsimile No. (713) 646-4816; and to Attention: Assistant General Counsel, Trading Group - ECT, Facsimile No. (713) 646-4818, at the above address; and</w:t>
      </w:r>
    </w:p>
    <w:p>
      <w:pPr>
        <w:pStyle w:val="Normal"/>
        <w:jc w:val="both"/>
        <w:rPr/>
      </w:pPr>
      <w:r>
        <w:rPr/>
      </w:r>
    </w:p>
    <w:p>
      <w:pPr>
        <w:pStyle w:val="Normal"/>
        <w:jc w:val="both"/>
        <w:rPr/>
      </w:pPr>
      <w:r>
        <w:rPr/>
        <w:tab/>
        <w:t>(b)</w:t>
        <w:tab/>
        <w:t>The office of Counterparty is and copies of any notices should be delivered to: Kjurboveien 16, Sanvika Norway  N-1302, Facsimile No.  90114767126601.</w:t>
      </w:r>
    </w:p>
    <w:p>
      <w:pPr>
        <w:pStyle w:val="Normal"/>
        <w:jc w:val="both"/>
        <w:rPr/>
      </w:pPr>
      <w:r>
        <w:rPr/>
      </w:r>
    </w:p>
    <w:p>
      <w:pPr>
        <w:pStyle w:val="Normal"/>
        <w:jc w:val="both"/>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Capital &amp; Trade Resources Corp. is pleased to have entered into this Transaction with you.</w:t>
      </w:r>
    </w:p>
    <w:p>
      <w:pPr>
        <w:pStyle w:val="Normal"/>
        <w:rPr/>
      </w:pPr>
      <w:r>
        <w:rPr/>
      </w:r>
    </w:p>
    <w:p>
      <w:pPr>
        <w:pStyle w:val="Normal"/>
        <w:keepNext w:val="true"/>
        <w:rPr/>
      </w:pPr>
      <w:r>
        <w:rPr/>
        <w:t>Yours sincerely,</w:t>
      </w:r>
    </w:p>
    <w:p>
      <w:pPr>
        <w:pStyle w:val="Normal"/>
        <w:keepNext w:val="true"/>
        <w:rPr/>
      </w:pPr>
      <w:r>
        <w:rPr/>
      </w:r>
    </w:p>
    <w:p>
      <w:pPr>
        <w:pStyle w:val="Normal"/>
        <w:keepNext w:val="true"/>
        <w:rPr>
          <w:b/>
        </w:rPr>
      </w:pPr>
      <w:r>
        <w:rPr>
          <w:b/>
        </w:rPr>
        <w:t>ENRON CAPITAL &amp; TRADE RESOURCES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SAGA PETROLEUM A.S.</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ECT</w:t>
      </w:r>
    </w:p>
    <w:p>
      <w:pPr>
        <w:pStyle w:val="Normal"/>
        <w:keepNext w:val="true"/>
        <w:jc w:val="center"/>
        <w:rPr>
          <w:b/>
        </w:rPr>
      </w:pPr>
      <w:r>
        <w:rPr>
          <w:b/>
        </w:rPr>
        <w:t>Party B:  Counterparty</w:t>
      </w:r>
    </w:p>
    <w:p>
      <w:pPr>
        <w:pStyle w:val="Normal"/>
        <w:keepNext w:val="true"/>
        <w:jc w:val="center"/>
        <w:rPr>
          <w:b/>
        </w:rPr>
      </w:pPr>
      <w:r>
        <w:rPr>
          <w:b/>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means the income tax treaty between the United States and Norway.</w:t>
      </w:r>
    </w:p>
    <w:p>
      <w:pPr>
        <w:pStyle w:val="Normal"/>
        <w:spacing w:lineRule="exact" w:line="240" w:before="240" w:after="0"/>
        <w:jc w:val="both"/>
        <w:rPr/>
      </w:pPr>
      <w:r>
        <w:rPr/>
        <w:t>"</w:t>
      </w:r>
      <w:r>
        <w:rPr>
          <w:b/>
        </w:rPr>
        <w:t>Specified Jurisdiction</w:t>
      </w:r>
      <w:r>
        <w:rPr/>
        <w:t>" means, with respect to Party A, Norway.</w:t>
      </w:r>
    </w:p>
    <w:p>
      <w:pPr>
        <w:pStyle w:val="Normal"/>
        <w:spacing w:lineRule="exact" w:line="240" w:before="240" w:after="0"/>
        <w:jc w:val="both"/>
        <w:rPr/>
      </w:pPr>
      <w:r>
        <w:rPr/>
        <w:t>"</w:t>
      </w:r>
      <w:r>
        <w:rPr>
          <w:b/>
        </w:rPr>
        <w:t>Specified Jurisdiction</w:t>
      </w:r>
      <w:r>
        <w:rPr/>
        <w:t>" means, with respect to Party B, the United States.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the Tax forms, documents, or certificates to be delivered are:</w:t>
      </w:r>
    </w:p>
    <w:p>
      <w:pPr>
        <w:pStyle w:val="Normal"/>
        <w:spacing w:lineRule="exact" w:line="240" w:before="240" w:after="0"/>
        <w:ind w:hanging="720" w:start="720" w:end="0"/>
        <w:jc w:val="both"/>
        <w:rPr/>
      </w:pPr>
      <w:r>
        <w:rPr/>
        <w:t>(a)</w:t>
        <w:tab/>
        <w:t>Party B agrees to complete (accurately and in a manner reasonably satisfactory to Party A), execute, and deliver to Party A a United States Internal Revenue Service Form 1001,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hanging="720" w:start="720" w:end="0"/>
        <w:jc w:val="both"/>
        <w:rPr/>
      </w:pPr>
      <w:r>
        <w:rPr/>
        <w:t>(b)</w:t>
        <w:tab/>
        <w:t>Party B agrees to complete (accurately and in a manner reasonably satisfactory to Party A), execute, and deliver to Party A a United States Internal Revenue Service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the Confirmation or the ISDA Agreement.</w:t>
      </w:r>
    </w:p>
    <w:sectPr>
      <w:headerReference w:type="default" r:id="rId7"/>
      <w:headerReference w:type="first" r:id="rId8"/>
      <w:footerReference w:type="default" r:id="rId9"/>
      <w:footerReference w:type="first" r:id="rId10"/>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rPr>
        <w:rStyle w:val="PageNumber"/>
        <w:sz w:val="20"/>
      </w:rPr>
    </w:pPr>
    <w:r>
      <w:rPr/>
    </w:r>
  </w:p>
  <w:p>
    <w:pPr>
      <w:pStyle w:val="Footer"/>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5</w:t>
    </w:r>
    <w:r>
      <w:rPr>
        <w:sz w:val="20"/>
      </w:rPr>
      <w:fldChar w:fldCharType="end"/>
    </w:r>
  </w:p>
  <w:p>
    <w:pPr>
      <w:pStyle w:val="Normal"/>
      <w:jc w:val="cen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rPr>
        <w:rStyle w:val="PageNumber"/>
        <w:sz w:val="16"/>
      </w:rPr>
    </w:pPr>
    <w:r>
      <w:rPr/>
    </w:r>
  </w:p>
  <w:p>
    <w:pPr>
      <w:pStyle w:val="Footer"/>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Deal Contract No. EX6179.1</w:t>
      <w:tab/>
      <w:tab/>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Deal Contract No. EX6179.1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Deal Contract No. EX6179.1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before="6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1999-06-10T12:59:00Z</dcterms:created>
  <dc:creator>ECT</dc:creator>
  <dc:description/>
  <dc:language>en-CA</dc:language>
  <cp:lastModifiedBy>brodrig</cp:lastModifiedBy>
  <cp:lastPrinted>1999-06-10T10:37:00Z</cp:lastPrinted>
  <dcterms:modified xsi:type="dcterms:W3CDTF">1999-06-10T13:08:00Z</dcterms:modified>
  <cp:revision>8</cp:revision>
  <dc:subject/>
  <dc:title>“DEEMED ISDA” CONFIRMATION</dc:title>
</cp:coreProperties>
</file>