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u w:val="single"/>
        </w:rPr>
      </w:pPr>
      <w:r>
        <w:rPr>
          <w:b/>
          <w:u w:val="single"/>
        </w:rPr>
        <w:t>Enron Europe Limited</w:t>
      </w:r>
    </w:p>
    <w:p>
      <w:pPr>
        <w:pStyle w:val="Normal"/>
        <w:jc w:val="center"/>
        <w:rPr>
          <w:b/>
          <w:u w:val="single"/>
        </w:rPr>
      </w:pPr>
      <w:r>
        <w:rPr>
          <w:b/>
          <w:u w:val="single"/>
        </w:rPr>
        <w:t>Document Retention/Destruction Policy</w:t>
      </w:r>
    </w:p>
    <w:p>
      <w:pPr>
        <w:pStyle w:val="Normal"/>
        <w:rPr/>
      </w:pPr>
      <w:r>
        <w:rPr/>
        <w:tab/>
      </w:r>
    </w:p>
    <w:p>
      <w:pPr>
        <w:pStyle w:val="Normal"/>
        <w:rPr/>
      </w:pPr>
      <w:r>
        <w:rPr/>
        <w:tab/>
        <w:t>We understand that Enron wishes to introduce a policy on retention of documents and that it has been proposed that certain categories of documents be destroyed on an ongoing basis.  In particular, it has been suggested that all e-mail correspondence be destroyed within a short period of time, likely to be one month following creation.  You asked us to consider this proposal from an English litigation perspective.</w:t>
      </w:r>
    </w:p>
    <w:p>
      <w:pPr>
        <w:pStyle w:val="Normal"/>
        <w:rPr/>
      </w:pPr>
      <w:r>
        <w:rPr/>
        <w:tab/>
        <w:t>We understand that practice in the US tends towards destruction of documents.  This practice appears to be based on the assumption that it is better to destroy documents which could be considered as damaging to the Company rather than to retain a full documentary record which, by definition, is likely to include helpful documents in addition to potentially damaging ones.  Traditionally, UK companies have taken the opposite approach to the US and have retained full files with a view to being in a position to produce a full documentary record should litigation arise.  Our view is that from an English litigation perspective, the UK tradition is to be preferred.</w:t>
      </w:r>
    </w:p>
    <w:p>
      <w:pPr>
        <w:pStyle w:val="Normal"/>
        <w:rPr/>
      </w:pPr>
      <w:r>
        <w:rPr/>
        <w:tab/>
        <w:t>Irrespective or whether the Company is defending or prosecuting a claim, it will wish to be in a position to produce documents to evidence its version of events.  The English Court places great reliance on contemporaneous documents as these are seen as the best evidence of events and as a general rule it will prefer contemporaneous documents to oral evidence.  Retaining a full document file on transactions therefore would enable the Company both to counter any contradictory contemporaneous documents produced by the other side in litigation and to counter conflicting oral testimony adduced by the other side.  For example, in the current ICI warranty litigation brought by ETOL and Enron Europe against ICI Chemicals &amp; Polymers, if e-mails had not been retained we would have had great difficulty in piecing together the transaction history and in demonstrating to the Court what the parties’ concerns were in the run up to signing the deal.</w:t>
      </w:r>
    </w:p>
    <w:p>
      <w:pPr>
        <w:pStyle w:val="Normal"/>
        <w:rPr/>
      </w:pPr>
      <w:r>
        <w:rPr/>
        <w:tab/>
        <w:t>We have considered whether it might be possible to apply criteria to documents created during the course of a transaction so as to determine whether or not they may be destroyed on an ongoing basis.  However, in view of the fact that until a dispute arises it is not possible to assess which particular documents may be relevant to the determination of the dispute, it is not possible to set such guidelines down.  Destroying any documents may be counter productive and may prevent or inhibit the Company effectively defending itself or effectively prosecuting a claim.</w:t>
      </w:r>
    </w:p>
    <w:p>
      <w:pPr>
        <w:pStyle w:val="Normal"/>
        <w:rPr/>
      </w:pPr>
      <w:r>
        <w:rPr/>
        <w:tab/>
        <w:t>We have also considered whether a retention policy could provide for retention of certain categories of documents only.  However, again, there does not appear to be any practical method by which certain documents could be weeded out for destruction.  In relation to e-mails, in view of the extensive use made of e-mail communication both internally within the Company and between the Company and other parties, including possible future opposing parties in litigation, our view is that all e-mails should be preserved.</w:t>
      </w:r>
    </w:p>
    <w:p>
      <w:pPr>
        <w:pStyle w:val="Normal"/>
        <w:rPr/>
      </w:pPr>
      <w:r>
        <w:rPr/>
        <w:tab/>
        <w:t xml:space="preserve">In addition to the fact that the English Court prefers contemporaneous documentary evidence to oral evidence, you should also be aware that a Court may draw adverse inferences from a party’s inability to produce documents in support of its defence/claim.  A Court may form the view that an over-zealous destruction policy has been designed with a view to destroying detrimental documents.  Such an attitude may colour the Court against the Company in any litigation.  </w:t>
      </w:r>
    </w:p>
    <w:p>
      <w:pPr>
        <w:pStyle w:val="Normal"/>
        <w:rPr/>
      </w:pPr>
      <w:r>
        <w:rPr/>
        <w:tab/>
        <w:t xml:space="preserve">We therefore advise that documents be retained and that they be stored in as accessible a manner as possible (in this regard, it has been very helpful during the ETOL litigation for us to have had access to e-mail sub-folders created by the various Enron personnel involved in the transaction).  We appreciate that the costs involved in the disclosure exercise in English litigation are high and that potential costs may be increased by retaining large volumes of documentation which would then have to be reviewed should a dispute arise.  However, this potential cost has to be weighted against the potential cost the Company would expose itself to if it ran the risk of weakening its defence to possible claims being brought against it and/or weakening the prosecution of any otherwise strong claim it may have, by destroying the documents necessary to support such defence or claim.  </w:t>
      </w:r>
    </w:p>
    <w:p>
      <w:pPr>
        <w:pStyle w:val="Normal"/>
        <w:rPr/>
      </w:pPr>
      <w:r>
        <w:rPr/>
        <w:tab/>
        <w:t>As far as civil liability under contract and tort is concerned, we would advise that all documents (including electronic documents) be retained for a minimum of 7 years.</w:t>
      </w:r>
    </w:p>
    <w:p>
      <w:pPr>
        <w:pStyle w:val="Normal"/>
        <w:rPr/>
      </w:pPr>
      <w:r>
        <w:rPr/>
        <w:tab/>
        <w:t>In the event that the Company chooses to adopt some form of document destruction policy, it ought to be aware of the necessity of being able to stop the automatic destruction of documents following the Company becoming aware of a claim that it has against a third party or of a claim which may be brought against it by a third party.  An English Court will draw adverse inferences against a party which has destroyed relevant documents after a claim has been brought to its attention or after it has become aware of a claim it may have against a third party.  In a corporate group as large as Enron, it is possible that one part of the business will be notified of a claim and/or become aware of a claim in circumstances where another part of the business which may hold documents relevant to such claim is unaware of the claim and therefore continues to destroy documents.  If a document destruction policy or even a limited destruction policy were to be introduced, clear rules would have to be established to ensure that routine destruction be stopped immediately that a notification to any part of the business of a claim is made.</w:t>
      </w:r>
    </w:p>
    <w:p>
      <w:pPr>
        <w:pStyle w:val="Normal"/>
        <w:rPr/>
      </w:pPr>
      <w:r>
        <w:rPr/>
        <w:tab/>
        <w:t>This note has considered the retention of documents from an English litigation perspective.  In relation to the other European countries in which Enron Europe operates, you should note that generally speaking disclosure obligation are more limited in other European countries.  In those jurisdictions, the risk inherent in retaining all documents (i.e. including potentially damaging documents) is likely to be less significant than in England.  If you wish us to arrange further advice on disclosure obligations in other European jurisdictions, please let us know.</w:t>
      </w:r>
    </w:p>
    <w:p>
      <w:pPr>
        <w:pStyle w:val="Normal"/>
        <w:spacing w:before="0" w:after="280"/>
        <w:jc w:val="end"/>
        <w:rPr/>
      </w:pPr>
      <w:r>
        <w:rPr>
          <w:b/>
        </w:rPr>
        <w:t>Slaughter and May</w:t>
        <w:br/>
        <w:t>17th November 2000</w:t>
        <w:br/>
      </w:r>
      <w:r>
        <w:rPr>
          <w:b/>
          <w:u w:val="single"/>
        </w:rPr>
        <w:tab/>
        <w:tab/>
        <w:tab/>
      </w:r>
    </w:p>
    <w:sectPr>
      <w:headerReference w:type="default" r:id="rId2"/>
      <w:headerReference w:type="first" r:id="rId3"/>
      <w:footerReference w:type="default" r:id="rId4"/>
      <w:footerReference w:type="first" r:id="rId5"/>
      <w:type w:val="nextPage"/>
      <w:pgSz w:w="11906" w:h="16838"/>
      <w:pgMar w:left="1701" w:right="1701" w:gutter="0" w:header="720" w:top="1418" w:footer="720" w:bottom="141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harter BT">
    <w:charset w:val="00" w:characterSet="windows-1252"/>
    <w:family w:val="auto"/>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DOCPROPERTY "udp_CMNumber"</w:instrText>
    </w:r>
    <w:r>
      <w:rPr/>
      <w:fldChar w:fldCharType="separate"/>
    </w:r>
    <w:r>
      <w:rPr/>
      <w:t>214686/11000</w:t>
    </w:r>
    <w:r>
      <w:rPr/>
      <w:fldChar w:fldCharType="end"/>
    </w:r>
    <w:r>
      <w:rPr>
        <w:rFonts w:eastAsia="Charter BT"/>
      </w:rPr>
      <w:t xml:space="preserve">  </w:t>
    </w:r>
    <w:r>
      <w:rPr/>
      <w:fldChar w:fldCharType="begin"/>
    </w:r>
    <w:r>
      <w:rPr/>
      <w:instrText xml:space="preserve"> DOCPROPERTY "udp_DocID"</w:instrText>
    </w:r>
    <w:r>
      <w:rPr/>
      <w:fldChar w:fldCharType="separate"/>
    </w:r>
    <w:r>
      <w:rPr/>
      <w:t>LT003736393</w:t>
    </w:r>
    <w:r>
      <w:rPr/>
      <w:fldChar w:fldCharType="end"/>
    </w:r>
    <w:r>
      <w:rPr>
        <w:rFonts w:eastAsia="Charter BT"/>
      </w:rPr>
      <w:t xml:space="preserve"> </w:t>
    </w:r>
    <w:r>
      <w:rPr/>
      <w:fldChar w:fldCharType="begin"/>
    </w:r>
    <w:r>
      <w:rPr/>
      <w:instrText xml:space="preserve"> DOCPROPERTY "udp_Author"</w:instrText>
    </w:r>
    <w:r>
      <w:rPr/>
      <w:fldChar w:fldCharType="separate"/>
    </w:r>
    <w:r>
      <w:rPr/>
      <w:t>ECXB</w:t>
    </w:r>
    <w:r>
      <w:rPr/>
      <w:fldChar w:fldCharType="end"/>
    </w:r>
    <w:r>
      <w:rPr>
        <w:rFonts w:eastAsia="Charter BT"/>
      </w:rPr>
      <w:t xml:space="preserve"> </w:t>
    </w:r>
    <w:r>
      <w:rPr/>
      <w:fldChar w:fldCharType="begin"/>
    </w:r>
    <w:r>
      <w:rPr/>
      <w:instrText xml:space="preserve"> DATE \@"ddMMyy\:HHmm" </w:instrText>
    </w:r>
    <w:r>
      <w:rPr/>
      <w:fldChar w:fldCharType="separate"/>
    </w:r>
    <w:r>
      <w:rPr/>
      <w:t>280925:0914</w:t>
    </w:r>
    <w:r>
      <w:rPr/>
      <w:fldChar w:fldCharType="end"/>
    </w:r>
  </w:p>
  <w:p>
    <w:pPr>
      <w:pStyle w:val="Footer"/>
      <w:spacing w:before="0" w:after="280"/>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rPr>
    </w:pPr>
    <w:r>
      <w:rPr>
        <w:lang w:val="en-CA"/>
      </w:rPr>
      <w:fldChar w:fldCharType="begin"/>
    </w:r>
    <w:r>
      <w:rPr>
        <w:lang w:val="en-CA"/>
      </w:rPr>
      <w:instrText xml:space="preserve"> DOCPROPERTY "udp_CMNumber"</w:instrText>
    </w:r>
    <w:r>
      <w:rPr>
        <w:lang w:val="en-CA"/>
      </w:rPr>
      <w:fldChar w:fldCharType="separate"/>
    </w:r>
    <w:r>
      <w:rPr>
        <w:lang w:val="en-CA"/>
      </w:rPr>
      <w:t>214686/11000</w:t>
    </w:r>
    <w:r>
      <w:rPr>
        <w:lang w:val="en-CA"/>
      </w:rPr>
      <w:fldChar w:fldCharType="end"/>
    </w:r>
    <w:r>
      <w:rPr>
        <w:rFonts w:eastAsia="Charter BT"/>
        <w:lang w:val="en-CA"/>
      </w:rPr>
      <w:t xml:space="preserve">  </w:t>
    </w:r>
    <w:r>
      <w:rPr>
        <w:lang w:val="en-CA"/>
      </w:rPr>
      <w:fldChar w:fldCharType="begin"/>
    </w:r>
    <w:r>
      <w:rPr>
        <w:lang w:val="en-CA"/>
      </w:rPr>
      <w:instrText xml:space="preserve"> DOCPROPERTY "udp_DocID"</w:instrText>
    </w:r>
    <w:r>
      <w:rPr>
        <w:lang w:val="en-CA"/>
      </w:rPr>
      <w:fldChar w:fldCharType="separate"/>
    </w:r>
    <w:r>
      <w:rPr>
        <w:lang w:val="en-CA"/>
      </w:rPr>
      <w:t>LT003736393</w:t>
    </w:r>
    <w:r>
      <w:rPr>
        <w:lang w:val="en-CA"/>
      </w:rPr>
      <w:fldChar w:fldCharType="end"/>
    </w:r>
    <w:r>
      <w:rPr>
        <w:rFonts w:eastAsia="Charter BT"/>
        <w:lang w:val="en-CA"/>
      </w:rPr>
      <w:t xml:space="preserve">  </w:t>
    </w:r>
    <w:r>
      <w:rPr>
        <w:lang w:val="en-CA"/>
      </w:rPr>
      <w:fldChar w:fldCharType="begin"/>
    </w:r>
    <w:r>
      <w:rPr>
        <w:lang w:val="en-CA"/>
      </w:rPr>
      <w:instrText xml:space="preserve"> DOCPROPERTY "udp_Author"</w:instrText>
    </w:r>
    <w:r>
      <w:rPr>
        <w:lang w:val="en-CA"/>
      </w:rPr>
      <w:fldChar w:fldCharType="separate"/>
    </w:r>
    <w:r>
      <w:rPr>
        <w:lang w:val="en-CA"/>
      </w:rPr>
      <w:t>ECXB</w:t>
    </w:r>
    <w:r>
      <w:rPr>
        <w:lang w:val="en-CA"/>
      </w:rPr>
      <w:fldChar w:fldCharType="end"/>
    </w:r>
    <w:r>
      <w:rPr>
        <w:rFonts w:eastAsia="Charter BT"/>
        <w:lang w:val="en-CA"/>
      </w:rPr>
      <w:t xml:space="preserve">  </w:t>
    </w:r>
    <w:r>
      <w:rPr>
        <w:lang w:val="en-CA"/>
      </w:rPr>
      <w:fldChar w:fldCharType="begin"/>
    </w:r>
    <w:r>
      <w:rPr>
        <w:lang w:val="en-CA"/>
      </w:rPr>
      <w:instrText xml:space="preserve"> DATE \@"ddMMyy\:HHmm" </w:instrText>
    </w:r>
    <w:r>
      <w:rPr>
        <w:lang w:val="en-CA"/>
      </w:rPr>
      <w:fldChar w:fldCharType="separate"/>
    </w:r>
    <w:r>
      <w:rPr>
        <w:lang w:val="en-CA"/>
      </w:rPr>
      <w:t>280925:0914</w:t>
    </w:r>
    <w:r>
      <w:rPr>
        <w:lang w:val="en-CA"/>
      </w:rPr>
      <w:fldChar w:fldCharType="end"/>
    </w:r>
  </w:p>
  <w:p>
    <w:pPr>
      <w:pStyle w:val="Footer"/>
      <w:spacing w:before="0" w:after="280"/>
      <w:rPr>
        <w:lang w:val="en-CA"/>
      </w:rPr>
    </w:pPr>
    <w:r>
      <w:rPr>
        <w:lang w:val="en-C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Header"/>
      <w:spacing w:before="0" w:after="280"/>
      <w:jc w:val="cent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80"/>
      <w:rPr/>
    </w:pPr>
    <w:r>
      <w:rPr/>
      <w:b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709"/>
        </w:tabs>
        <w:ind w:start="709" w:hanging="708"/>
      </w:pPr>
    </w:lvl>
    <w:lvl w:ilvl="1">
      <w:start w:val="1"/>
      <w:pStyle w:val="Heading2"/>
      <w:numFmt w:val="decimal"/>
      <w:lvlText w:val="%1.%2"/>
      <w:lvlJc w:val="start"/>
      <w:pPr>
        <w:tabs>
          <w:tab w:val="num" w:pos="709"/>
        </w:tabs>
        <w:ind w:start="709" w:hanging="709"/>
      </w:pPr>
    </w:lvl>
    <w:lvl w:ilvl="2">
      <w:start w:val="1"/>
      <w:pStyle w:val="Heading3"/>
      <w:numFmt w:val="upperLetter"/>
      <w:lvlText w:val="(%3)"/>
      <w:lvlJc w:val="start"/>
      <w:pPr>
        <w:tabs>
          <w:tab w:val="num" w:pos="1418"/>
        </w:tabs>
        <w:ind w:start="1418" w:hanging="709"/>
      </w:pPr>
    </w:lvl>
    <w:lvl w:ilvl="3">
      <w:start w:val="1"/>
      <w:pStyle w:val="Heading4"/>
      <w:numFmt w:val="lowerRoman"/>
      <w:lvlText w:val="(%4)"/>
      <w:lvlJc w:val="start"/>
      <w:pPr>
        <w:tabs>
          <w:tab w:val="num" w:pos="2138"/>
        </w:tabs>
        <w:ind w:start="2126" w:hanging="708"/>
      </w:pPr>
    </w:lvl>
    <w:lvl w:ilvl="4">
      <w:start w:val="1"/>
      <w:pStyle w:val="Heading5"/>
      <w:numFmt w:val="lowerLetter"/>
      <w:lvlText w:val="(%5)"/>
      <w:lvlJc w:val="start"/>
      <w:pPr>
        <w:tabs>
          <w:tab w:val="num" w:pos="2835"/>
        </w:tabs>
        <w:ind w:start="2835" w:hanging="709"/>
      </w:pPr>
    </w:lvl>
    <w:lvl w:ilvl="5">
      <w:start w:val="1"/>
      <w:pStyle w:val="Heading6"/>
      <w:numFmt w:val="decimal"/>
      <w:lvlText w:val="(%6)"/>
      <w:lvlJc w:val="start"/>
      <w:pPr>
        <w:tabs>
          <w:tab w:val="num" w:pos="3544"/>
        </w:tabs>
        <w:ind w:start="3544" w:hanging="709"/>
      </w:pPr>
    </w:lvl>
    <w:lvl w:ilvl="6">
      <w:start w:val="1"/>
      <w:pStyle w:val="Heading7"/>
      <w:numFmt w:val="upperLetter"/>
      <w:lvlText w:val="(%7)"/>
      <w:lvlJc w:val="start"/>
      <w:pPr>
        <w:tabs>
          <w:tab w:val="num" w:pos="4253"/>
        </w:tabs>
        <w:ind w:start="4253" w:hanging="709"/>
      </w:pPr>
    </w:lvl>
    <w:lvl w:ilvl="7">
      <w:start w:val="1"/>
      <w:pStyle w:val="Heading8"/>
      <w:numFmt w:val="decimal"/>
      <w:lvlText w:val="(%8)"/>
      <w:lvlJc w:val="start"/>
      <w:pPr>
        <w:tabs>
          <w:tab w:val="num" w:pos="4961"/>
        </w:tabs>
        <w:ind w:start="4961" w:hanging="708"/>
      </w:pPr>
    </w:lvl>
    <w:lvl w:ilvl="8">
      <w:start w:val="1"/>
      <w:pStyle w:val="Heading9"/>
      <w:numFmt w:val="lowerRoman"/>
      <w:lvlText w:val="(%9)"/>
      <w:lvlJc w:val="start"/>
      <w:pPr>
        <w:tabs>
          <w:tab w:val="num" w:pos="5681"/>
        </w:tabs>
        <w:ind w:start="5670" w:hanging="709"/>
      </w:pPr>
    </w:lvl>
  </w:abstractNum>
  <w:abstractNum w:abstractNumId="2">
    <w:lvl w:ilvl="0">
      <w:start w:val="1"/>
      <w:numFmt w:val="decimal"/>
      <w:lvlText w:val="%1."/>
      <w:lvlJc w:val="start"/>
      <w:pPr>
        <w:tabs>
          <w:tab w:val="num" w:pos="709"/>
        </w:tabs>
        <w:ind w:start="709" w:hanging="708"/>
      </w:pPr>
    </w:lvl>
    <w:lvl w:ilvl="1">
      <w:start w:val="1"/>
      <w:numFmt w:val="decimal"/>
      <w:lvlText w:val="%1.%2"/>
      <w:lvlJc w:val="start"/>
      <w:pPr>
        <w:tabs>
          <w:tab w:val="num" w:pos="709"/>
        </w:tabs>
        <w:ind w:start="709" w:hanging="709"/>
      </w:pPr>
    </w:lvl>
    <w:lvl w:ilvl="2">
      <w:start w:val="1"/>
      <w:numFmt w:val="upperLetter"/>
      <w:lvlText w:val="(%3)"/>
      <w:lvlJc w:val="start"/>
      <w:pPr>
        <w:tabs>
          <w:tab w:val="num" w:pos="1418"/>
        </w:tabs>
        <w:ind w:start="1418" w:hanging="709"/>
      </w:pPr>
    </w:lvl>
    <w:lvl w:ilvl="3">
      <w:start w:val="1"/>
      <w:numFmt w:val="lowerRoman"/>
      <w:lvlText w:val="(%4)"/>
      <w:lvlJc w:val="start"/>
      <w:pPr>
        <w:tabs>
          <w:tab w:val="num" w:pos="2138"/>
        </w:tabs>
        <w:ind w:start="2126" w:hanging="708"/>
      </w:pPr>
    </w:lvl>
    <w:lvl w:ilvl="4">
      <w:start w:val="1"/>
      <w:numFmt w:val="lowerLetter"/>
      <w:lvlText w:val="(%5)"/>
      <w:lvlJc w:val="start"/>
      <w:pPr>
        <w:tabs>
          <w:tab w:val="num" w:pos="2835"/>
        </w:tabs>
        <w:ind w:start="2835" w:hanging="709"/>
      </w:pPr>
    </w:lvl>
    <w:lvl w:ilvl="5">
      <w:start w:val="1"/>
      <w:numFmt w:val="decimal"/>
      <w:lvlText w:val="(%6)"/>
      <w:lvlJc w:val="start"/>
      <w:pPr>
        <w:tabs>
          <w:tab w:val="num" w:pos="3544"/>
        </w:tabs>
        <w:ind w:start="3544" w:hanging="709"/>
      </w:pPr>
    </w:lvl>
    <w:lvl w:ilvl="6">
      <w:start w:val="1"/>
      <w:numFmt w:val="upperLetter"/>
      <w:lvlText w:val="(%7)"/>
      <w:lvlJc w:val="start"/>
      <w:pPr>
        <w:tabs>
          <w:tab w:val="num" w:pos="4253"/>
        </w:tabs>
        <w:ind w:start="4253" w:hanging="709"/>
      </w:pPr>
    </w:lvl>
    <w:lvl w:ilvl="7">
      <w:start w:val="1"/>
      <w:numFmt w:val="decimal"/>
      <w:lvlText w:val="(%8)"/>
      <w:lvlJc w:val="start"/>
      <w:pPr>
        <w:tabs>
          <w:tab w:val="num" w:pos="4961"/>
        </w:tabs>
        <w:ind w:start="4961" w:hanging="708"/>
      </w:pPr>
    </w:lvl>
    <w:lvl w:ilvl="8">
      <w:start w:val="1"/>
      <w:numFmt w:val="lowerRoman"/>
      <w:lvlText w:val="(%9)"/>
      <w:lvlJc w:val="start"/>
      <w:pPr>
        <w:tabs>
          <w:tab w:val="num" w:pos="5681"/>
        </w:tabs>
        <w:ind w:start="5670" w:hanging="709"/>
      </w:pPr>
    </w:lvl>
  </w:abstractNum>
  <w:abstractNum w:abstractNumId="3">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bidi w:val="0"/>
      <w:spacing w:lineRule="atLeast" w:line="280" w:before="0" w:after="280"/>
    </w:pPr>
    <w:rPr>
      <w:rFonts w:ascii="Charter BT" w:hAnsi="Charter BT" w:eastAsia="Times New Roman" w:cs="Charter BT"/>
      <w:color w:val="auto"/>
      <w:kern w:val="2"/>
      <w:sz w:val="20"/>
      <w:szCs w:val="20"/>
      <w:lang w:val="en-GB"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numPr>
        <w:ilvl w:val="1"/>
        <w:numId w:val="1"/>
      </w:numPr>
      <w:outlineLvl w:val="1"/>
    </w:pPr>
    <w:rPr>
      <w:b/>
    </w:rPr>
  </w:style>
  <w:style w:type="paragraph" w:styleId="Heading3">
    <w:name w:val="heading 3"/>
    <w:basedOn w:val="Normal"/>
    <w:next w:val="Normal"/>
    <w:qFormat/>
    <w:pPr>
      <w:numPr>
        <w:ilvl w:val="2"/>
        <w:numId w:val="1"/>
      </w:numPr>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utlineLvl w:val="2"/>
    </w:pPr>
    <w:rPr/>
  </w:style>
  <w:style w:type="paragraph" w:styleId="Heading4">
    <w:name w:val="heading 4"/>
    <w:basedOn w:val="Normal"/>
    <w:next w:val="Normal"/>
    <w:qFormat/>
    <w:pPr>
      <w:numPr>
        <w:ilvl w:val="3"/>
        <w:numId w:val="1"/>
      </w:numPr>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utlineLvl w:val="3"/>
    </w:pPr>
    <w:rPr/>
  </w:style>
  <w:style w:type="paragraph" w:styleId="Heading5">
    <w:name w:val="heading 5"/>
    <w:basedOn w:val="Normal"/>
    <w:next w:val="Normal"/>
    <w:qFormat/>
    <w:pPr>
      <w:numPr>
        <w:ilvl w:val="4"/>
        <w:numId w:val="1"/>
      </w:numPr>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utlineLvl w:val="4"/>
    </w:pPr>
    <w:rPr/>
  </w:style>
  <w:style w:type="paragraph" w:styleId="Heading6">
    <w:name w:val="heading 6"/>
    <w:basedOn w:val="Normal"/>
    <w:next w:val="Normal"/>
    <w:qFormat/>
    <w:pPr>
      <w:numPr>
        <w:ilvl w:val="5"/>
        <w:numId w:val="1"/>
      </w:numPr>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utlineLvl w:val="5"/>
    </w:pPr>
    <w:rPr/>
  </w:style>
  <w:style w:type="paragraph" w:styleId="Heading7">
    <w:name w:val="heading 7"/>
    <w:basedOn w:val="Normal"/>
    <w:next w:val="Normal"/>
    <w:qFormat/>
    <w:pPr>
      <w:numPr>
        <w:ilvl w:val="6"/>
        <w:numId w:val="1"/>
      </w:numPr>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utlineLvl w:val="6"/>
    </w:pPr>
    <w:rPr/>
  </w:style>
  <w:style w:type="paragraph" w:styleId="Heading8">
    <w:name w:val="heading 8"/>
    <w:basedOn w:val="Normal"/>
    <w:next w:val="Normal"/>
    <w:qFormat/>
    <w:pPr>
      <w:numPr>
        <w:ilvl w:val="7"/>
        <w:numId w:val="1"/>
      </w:numPr>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outlineLvl w:val="7"/>
    </w:pPr>
    <w:rPr/>
  </w:style>
  <w:style w:type="paragraph" w:styleId="Heading9">
    <w:name w:val="heading 9"/>
    <w:basedOn w:val="Normal"/>
    <w:next w:val="Normal"/>
    <w:qFormat/>
    <w:pPr>
      <w:numPr>
        <w:ilvl w:val="8"/>
        <w:numId w:val="1"/>
      </w:numPr>
      <w:tabs>
        <w:tab w:val="clear" w:pos="709"/>
        <w:tab w:val="left" w:pos="1418" w:leader="none"/>
        <w:tab w:val="left" w:pos="2126" w:leader="none"/>
        <w:tab w:val="left" w:pos="2835" w:leader="none"/>
        <w:tab w:val="left" w:pos="3544" w:leader="none"/>
        <w:tab w:val="left" w:pos="4253" w:leader="none"/>
        <w:tab w:val="left" w:pos="4961" w:leader="none"/>
        <w:tab w:val="right" w:pos="5670" w:leader="none"/>
        <w:tab w:val="right" w:pos="8363" w:leader="none"/>
      </w:tabs>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color w:val="auto"/>
      <w:kern w:val="2"/>
      <w:u w:val="none"/>
    </w:rPr>
  </w:style>
  <w:style w:type="character" w:styleId="AnnotationReference">
    <w:name w:val="Annotation Reference"/>
    <w:basedOn w:val="DefaultParagraphFont"/>
    <w:qFormat/>
    <w:rPr>
      <w:i/>
      <w:color w:val="auto"/>
      <w:kern w:val="2"/>
      <w:sz w:val="16"/>
      <w:u w:val="none"/>
      <w:vertAlign w:val="superscript"/>
    </w:rPr>
  </w:style>
  <w:style w:type="character" w:styleId="EndnoteCharacters">
    <w:name w:val="Endnote Characters"/>
    <w:basedOn w:val="DefaultParagraphFont"/>
    <w:qFormat/>
    <w:rPr>
      <w:b/>
      <w:color w:val="auto"/>
      <w:kern w:val="2"/>
      <w:sz w:val="14"/>
      <w:u w:val="none"/>
      <w:vertAlign w:val="superscript"/>
    </w:rPr>
  </w:style>
  <w:style w:type="character" w:styleId="LineNumber">
    <w:name w:val="line number"/>
    <w:basedOn w:val="DefaultParagraphFont"/>
    <w:rPr>
      <w:color w:val="auto"/>
      <w:kern w:val="2"/>
      <w:u w:val="none"/>
    </w:rPr>
  </w:style>
  <w:style w:type="character" w:styleId="FootnoteCharacters">
    <w:name w:val="Footnote Characters"/>
    <w:basedOn w:val="DefaultParagraphFont"/>
    <w:qFormat/>
    <w:rPr>
      <w:b/>
      <w:color w:val="auto"/>
      <w:kern w:val="2"/>
      <w:sz w:val="14"/>
      <w:u w:val="none"/>
      <w:vertAlign w:val="superscript"/>
    </w:rPr>
  </w:style>
  <w:style w:type="paragraph" w:styleId="Heading">
    <w:name w:val="Heading"/>
    <w:basedOn w:val="Normal"/>
    <w:next w:val="BodyText"/>
    <w:qFormat/>
    <w:pPr>
      <w:spacing w:before="240" w:after="60"/>
      <w:jc w:val="center"/>
    </w:pPr>
    <w:rPr>
      <w:rFonts w:ascii="Arial" w:hAnsi="Arial" w:cs="Arial"/>
      <w:b/>
      <w:sz w:val="32"/>
    </w:rPr>
  </w:style>
  <w:style w:type="paragraph" w:styleId="BodyText">
    <w:name w:val="Body Text"/>
    <w:basedOn w:val="Normal"/>
    <w:pPr>
      <w:spacing w:before="0" w:after="120"/>
    </w:pPr>
    <w:rPr/>
  </w:style>
  <w:style w:type="paragraph" w:styleId="List">
    <w:name w:val="List"/>
    <w:basedOn w:val="Normal"/>
    <w:pPr>
      <w:ind w:hanging="283" w:start="283" w:end="0"/>
    </w:pPr>
    <w:rPr/>
  </w:style>
  <w:style w:type="paragraph" w:styleId="Caption">
    <w:name w:val="caption"/>
    <w:basedOn w:val="Normal"/>
    <w:next w:val="Normal"/>
    <w:qFormat/>
    <w:pPr>
      <w:keepNext w:val="true"/>
    </w:pPr>
    <w:rPr>
      <w:b/>
    </w:rPr>
  </w:style>
  <w:style w:type="paragraph" w:styleId="Index">
    <w:name w:val="Index"/>
    <w:basedOn w:val="Normal"/>
    <w:qFormat/>
    <w:pPr>
      <w:suppressLineNumbers/>
    </w:pPr>
    <w:rPr>
      <w:rFonts w:cs="NotoSans NF"/>
    </w:rPr>
  </w:style>
  <w:style w:type="paragraph" w:styleId="FrontSheet">
    <w:name w:val="FrontSheet"/>
    <w:basedOn w:val="Normal"/>
    <w:qFormat/>
    <w:pPr/>
    <w:rPr/>
  </w:style>
  <w:style w:type="paragraph" w:styleId="HeaderandFooter">
    <w:name w:val="Header and Footer"/>
    <w:basedOn w:val="Normal"/>
    <w:qFormat/>
    <w:pPr>
      <w:suppressLineNumbers/>
      <w:tabs>
        <w:tab w:val="clear" w:pos="709"/>
        <w:tab w:val="clear" w:pos="1418"/>
        <w:tab w:val="clear" w:pos="2126"/>
        <w:tab w:val="clear" w:pos="2835"/>
        <w:tab w:val="clear" w:pos="3544"/>
        <w:tab w:val="clear" w:pos="4253"/>
        <w:tab w:val="clear" w:pos="4961"/>
        <w:tab w:val="clear" w:pos="5670"/>
        <w:tab w:val="clear" w:pos="8363"/>
        <w:tab w:val="center" w:pos="4986" w:leader="none"/>
        <w:tab w:val="right" w:pos="9972" w:leader="none"/>
      </w:tabs>
    </w:pPr>
    <w:rPr/>
  </w:style>
  <w:style w:type="paragraph" w:styleId="Header">
    <w:name w:val="header"/>
    <w:basedOn w:val="Normal"/>
    <w:pPr>
      <w:tabs>
        <w:tab w:val="clear" w:pos="709"/>
        <w:tab w:val="left" w:pos="1418" w:leader="none"/>
        <w:tab w:val="left" w:pos="2126" w:leader="none"/>
        <w:tab w:val="left" w:pos="2835" w:leader="none"/>
        <w:tab w:val="left" w:pos="3544" w:leader="none"/>
        <w:tab w:val="center" w:pos="4253" w:leader="none"/>
        <w:tab w:val="left" w:pos="4961" w:leader="none"/>
        <w:tab w:val="left" w:pos="5670" w:leader="none"/>
        <w:tab w:val="right" w:pos="8363" w:leader="none"/>
      </w:tabs>
    </w:pPr>
    <w:rPr/>
  </w:style>
  <w:style w:type="paragraph" w:styleId="Footer">
    <w:name w:val="footer"/>
    <w:basedOn w:val="Normal"/>
    <w:pPr>
      <w:tabs>
        <w:tab w:val="clear" w:pos="709"/>
        <w:tab w:val="clear" w:pos="8363"/>
        <w:tab w:val="left" w:pos="1418" w:leader="none"/>
        <w:tab w:val="left" w:pos="2126" w:leader="none"/>
        <w:tab w:val="left" w:pos="2835" w:leader="none"/>
        <w:tab w:val="left" w:pos="3544" w:leader="none"/>
        <w:tab w:val="center" w:pos="4253" w:leader="none"/>
        <w:tab w:val="left" w:pos="4961" w:leader="none"/>
        <w:tab w:val="left" w:pos="5670" w:leader="none"/>
        <w:tab w:val="right" w:pos="8306" w:leader="none"/>
      </w:tabs>
      <w:jc w:val="center"/>
    </w:pPr>
    <w:rPr>
      <w:sz w:val="12"/>
    </w:rPr>
  </w:style>
  <w:style w:type="paragraph" w:styleId="BodyTextIndent">
    <w:name w:val="Body Text Indent"/>
    <w:basedOn w:val="Normal"/>
    <w:pPr>
      <w:spacing w:before="0" w:after="120"/>
      <w:ind w:hanging="0" w:start="283" w:end="0"/>
    </w:pPr>
    <w:rPr/>
  </w:style>
  <w:style w:type="paragraph" w:styleId="EnvelopeAddress">
    <w:name w:val="envelope address"/>
    <w:basedOn w:val="Normal"/>
    <w:pPr>
      <w:ind w:hanging="0" w:start="2880" w:end="0"/>
    </w:pPr>
    <w:rPr>
      <w:sz w:val="24"/>
    </w:rPr>
  </w:style>
  <w:style w:type="paragraph" w:styleId="Closing">
    <w:name w:val="Closing"/>
    <w:basedOn w:val="Normal"/>
    <w:qFormat/>
    <w:pPr>
      <w:ind w:hanging="0" w:start="4252" w:end="0"/>
    </w:pPr>
    <w:rPr/>
  </w:style>
  <w:style w:type="paragraph" w:styleId="EnvelopeReturn">
    <w:name w:val="envelope return"/>
    <w:basedOn w:val="Normal"/>
    <w:pPr/>
    <w:rPr/>
  </w:style>
  <w:style w:type="paragraph" w:styleId="EndnoteText">
    <w:name w:val="endnote text"/>
    <w:basedOn w:val="Normal"/>
    <w:pPr>
      <w:spacing w:lineRule="atLeast" w:line="220" w:before="0" w:after="200"/>
      <w:ind w:hanging="170" w:start="170" w:end="0"/>
    </w:pPr>
    <w:rPr>
      <w:sz w:val="16"/>
    </w:rPr>
  </w:style>
  <w:style w:type="paragraph" w:styleId="Index1">
    <w:name w:val="index 1"/>
    <w:basedOn w:val="Normal"/>
    <w:next w:val="Normal"/>
    <w:pPr>
      <w:tabs>
        <w:tab w:val="clear" w:pos="709"/>
        <w:tab w:val="clear" w:pos="1418"/>
        <w:tab w:val="clear" w:pos="2126"/>
        <w:tab w:val="clear" w:pos="2835"/>
        <w:tab w:val="clear" w:pos="3544"/>
        <w:tab w:val="clear" w:pos="4253"/>
        <w:tab w:val="clear" w:pos="4961"/>
        <w:tab w:val="clear" w:pos="5670"/>
        <w:tab w:val="right" w:pos="8363" w:leader="dot"/>
      </w:tabs>
      <w:spacing w:before="0" w:after="120"/>
      <w:ind w:hanging="284" w:start="284" w:end="0"/>
    </w:pPr>
    <w:rPr/>
  </w:style>
  <w:style w:type="paragraph" w:styleId="Index2">
    <w:name w:val="index 2"/>
    <w:basedOn w:val="Normal"/>
    <w:next w:val="Normal"/>
    <w:pPr>
      <w:tabs>
        <w:tab w:val="clear" w:pos="709"/>
        <w:tab w:val="clear" w:pos="1418"/>
        <w:tab w:val="clear" w:pos="2126"/>
        <w:tab w:val="clear" w:pos="2835"/>
        <w:tab w:val="clear" w:pos="3544"/>
        <w:tab w:val="clear" w:pos="4253"/>
        <w:tab w:val="clear" w:pos="4961"/>
        <w:tab w:val="clear" w:pos="5670"/>
        <w:tab w:val="right" w:pos="8363" w:leader="dot"/>
      </w:tabs>
      <w:spacing w:before="0" w:after="120"/>
      <w:ind w:hanging="284" w:start="993" w:end="0"/>
    </w:pPr>
    <w:rPr/>
  </w:style>
  <w:style w:type="paragraph" w:styleId="Index3">
    <w:name w:val="index 3"/>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600" w:end="0"/>
    </w:pPr>
    <w:rPr/>
  </w:style>
  <w:style w:type="paragraph" w:styleId="Index4">
    <w:name w:val="Index 4"/>
    <w:basedOn w:val="Normal"/>
    <w:next w:val="Normal"/>
    <w:qFormat/>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800" w:end="0"/>
    </w:pPr>
    <w:rPr/>
  </w:style>
  <w:style w:type="paragraph" w:styleId="Index5">
    <w:name w:val="Index 5"/>
    <w:basedOn w:val="Normal"/>
    <w:next w:val="Normal"/>
    <w:qFormat/>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1000" w:end="0"/>
    </w:pPr>
    <w:rPr/>
  </w:style>
  <w:style w:type="paragraph" w:styleId="Index6">
    <w:name w:val="Index 6"/>
    <w:basedOn w:val="Normal"/>
    <w:next w:val="Normal"/>
    <w:qFormat/>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1200" w:end="0"/>
    </w:pPr>
    <w:rPr/>
  </w:style>
  <w:style w:type="paragraph" w:styleId="Index7">
    <w:name w:val="Index 7"/>
    <w:basedOn w:val="Normal"/>
    <w:next w:val="Normal"/>
    <w:qFormat/>
    <w:pPr>
      <w:numPr>
        <w:ilvl w:val="0"/>
        <w:numId w:val="2"/>
      </w:numPr>
      <w:tabs>
        <w:tab w:val="clear" w:pos="709"/>
        <w:tab w:val="clear" w:pos="1418"/>
        <w:tab w:val="clear" w:pos="2126"/>
        <w:tab w:val="clear" w:pos="2835"/>
        <w:tab w:val="clear" w:pos="3544"/>
        <w:tab w:val="clear" w:pos="4253"/>
        <w:tab w:val="clear" w:pos="4961"/>
        <w:tab w:val="clear" w:pos="5670"/>
        <w:tab w:val="clear" w:pos="8363"/>
        <w:tab w:val="right" w:pos="8505" w:leader="dot"/>
      </w:tabs>
    </w:pPr>
    <w:rPr/>
  </w:style>
  <w:style w:type="paragraph" w:styleId="Index8">
    <w:name w:val="Index 8"/>
    <w:basedOn w:val="Normal"/>
    <w:next w:val="Normal"/>
    <w:qFormat/>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1600" w:end="0"/>
    </w:pPr>
    <w:rPr/>
  </w:style>
  <w:style w:type="paragraph" w:styleId="Index9">
    <w:name w:val="Index 9"/>
    <w:basedOn w:val="Normal"/>
    <w:next w:val="Normal"/>
    <w:qFormat/>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200" w:start="1800" w:end="0"/>
    </w:pPr>
    <w:rPr/>
  </w:style>
  <w:style w:type="paragraph" w:styleId="IndexHeading">
    <w:name w:val="index heading"/>
    <w:basedOn w:val="Normal"/>
    <w:next w:val="Index1"/>
    <w:pPr/>
    <w:rPr/>
  </w:style>
  <w:style w:type="paragraph" w:styleId="ListBullet2">
    <w:name w:val="List Bullet 2"/>
    <w:basedOn w:val="Normal"/>
    <w:pPr>
      <w:ind w:hanging="283" w:start="566" w:end="0"/>
    </w:pPr>
    <w:rPr/>
  </w:style>
  <w:style w:type="paragraph" w:styleId="ListBullet3">
    <w:name w:val="List Bullet 3"/>
    <w:basedOn w:val="Normal"/>
    <w:pPr>
      <w:ind w:hanging="283" w:start="849" w:end="0"/>
    </w:pPr>
    <w:rPr/>
  </w:style>
  <w:style w:type="paragraph" w:styleId="ListBullet4">
    <w:name w:val="List Bullet 4"/>
    <w:basedOn w:val="Normal"/>
    <w:pPr>
      <w:ind w:hanging="283" w:start="1132" w:end="0"/>
    </w:pPr>
    <w:rPr/>
  </w:style>
  <w:style w:type="paragraph" w:styleId="ListBullet5">
    <w:name w:val="List Bullet 5"/>
    <w:basedOn w:val="Normal"/>
    <w:pPr>
      <w:ind w:hanging="283" w:start="1415" w:end="0"/>
    </w:pPr>
    <w:rPr/>
  </w:style>
  <w:style w:type="paragraph" w:styleId="ListContinue">
    <w:name w:val="List Continue"/>
    <w:basedOn w:val="Normal"/>
    <w:qFormat/>
    <w:pPr>
      <w:spacing w:before="0" w:after="120"/>
      <w:ind w:hanging="0" w:start="283" w:end="0"/>
    </w:pPr>
    <w:rPr/>
  </w:style>
  <w:style w:type="paragraph" w:styleId="ListContinue2">
    <w:name w:val="List Continue 2"/>
    <w:basedOn w:val="Normal"/>
    <w:qFormat/>
    <w:pPr>
      <w:spacing w:before="0" w:after="120"/>
      <w:ind w:hanging="0" w:start="566" w:end="0"/>
    </w:pPr>
    <w:rPr/>
  </w:style>
  <w:style w:type="paragraph" w:styleId="ListContinue3">
    <w:name w:val="List Continue 3"/>
    <w:basedOn w:val="Normal"/>
    <w:qFormat/>
    <w:pPr>
      <w:spacing w:before="0" w:after="120"/>
      <w:ind w:hanging="0" w:start="849" w:end="0"/>
    </w:pPr>
    <w:rPr/>
  </w:style>
  <w:style w:type="paragraph" w:styleId="ListContinue4">
    <w:name w:val="List Continue 4"/>
    <w:basedOn w:val="Normal"/>
    <w:qFormat/>
    <w:pPr>
      <w:spacing w:before="0" w:after="120"/>
      <w:ind w:hanging="0" w:start="1132" w:end="0"/>
    </w:pPr>
    <w:rPr/>
  </w:style>
  <w:style w:type="paragraph" w:styleId="ListContinue5">
    <w:name w:val="List Continue 5"/>
    <w:basedOn w:val="Normal"/>
    <w:qFormat/>
    <w:pPr>
      <w:spacing w:before="0" w:after="120"/>
      <w:ind w:hanging="0" w:start="1415" w:end="0"/>
    </w:pPr>
    <w:rPr/>
  </w:style>
  <w:style w:type="paragraph" w:styleId="ListNumber">
    <w:name w:val="List Number"/>
    <w:basedOn w:val="Normal"/>
    <w:qFormat/>
    <w:pPr>
      <w:numPr>
        <w:ilvl w:val="0"/>
        <w:numId w:val="3"/>
      </w:numPr>
      <w:ind w:hanging="283" w:start="283" w:end="0"/>
    </w:pPr>
    <w:rPr/>
  </w:style>
  <w:style w:type="paragraph" w:styleId="ListNumber2">
    <w:name w:val="List Number 2"/>
    <w:basedOn w:val="Normal"/>
    <w:qFormat/>
    <w:pPr>
      <w:numPr>
        <w:ilvl w:val="0"/>
        <w:numId w:val="4"/>
      </w:numPr>
      <w:ind w:hanging="283" w:start="566" w:end="0"/>
    </w:pPr>
    <w:rPr/>
  </w:style>
  <w:style w:type="paragraph" w:styleId="ListNumber3">
    <w:name w:val="List Number 3"/>
    <w:basedOn w:val="Normal"/>
    <w:qFormat/>
    <w:pPr>
      <w:numPr>
        <w:ilvl w:val="0"/>
        <w:numId w:val="5"/>
      </w:numPr>
      <w:ind w:hanging="283" w:start="849" w:end="0"/>
    </w:pPr>
    <w:rPr/>
  </w:style>
  <w:style w:type="paragraph" w:styleId="ListNumber4">
    <w:name w:val="List Number 4"/>
    <w:basedOn w:val="Normal"/>
    <w:qFormat/>
    <w:pPr>
      <w:numPr>
        <w:ilvl w:val="0"/>
        <w:numId w:val="6"/>
      </w:numPr>
      <w:ind w:hanging="283" w:start="1132" w:end="0"/>
    </w:pPr>
    <w:rPr/>
  </w:style>
  <w:style w:type="paragraph" w:styleId="ListNumber5">
    <w:name w:val="List Number 5"/>
    <w:basedOn w:val="Normal"/>
    <w:qFormat/>
    <w:pPr>
      <w:numPr>
        <w:ilvl w:val="0"/>
        <w:numId w:val="7"/>
      </w:numPr>
      <w:ind w:hanging="283" w:start="1415" w:end="0"/>
    </w:pPr>
    <w:rPr/>
  </w:style>
  <w:style w:type="paragraph" w:styleId="MessageHeader">
    <w:name w:val="Message Header"/>
    <w:basedOn w:val="Normal"/>
    <w:qFormat/>
    <w:pPr>
      <w:ind w:hanging="1134" w:start="1134" w:end="0"/>
    </w:pPr>
    <w:rPr>
      <w:rFonts w:ascii="Arial" w:hAnsi="Arial" w:cs="Arial"/>
      <w:sz w:val="24"/>
    </w:rPr>
  </w:style>
  <w:style w:type="paragraph" w:styleId="Signature">
    <w:name w:val="Signature"/>
    <w:basedOn w:val="Normal"/>
    <w:pPr>
      <w:ind w:hanging="0" w:start="4252" w:end="0"/>
    </w:pPr>
    <w:rPr/>
  </w:style>
  <w:style w:type="paragraph" w:styleId="Subtitle">
    <w:name w:val="Subtitle"/>
    <w:basedOn w:val="Normal"/>
    <w:next w:val="BodyText"/>
    <w:qFormat/>
    <w:pPr>
      <w:spacing w:before="0" w:after="60"/>
      <w:jc w:val="center"/>
    </w:pPr>
    <w:rPr>
      <w:rFonts w:ascii="Arial" w:hAnsi="Arial" w:cs="Arial"/>
      <w:i/>
      <w:sz w:val="24"/>
    </w:rPr>
  </w:style>
  <w:style w:type="paragraph" w:styleId="TOAHeading">
    <w:name w:val="TOA Heading"/>
    <w:basedOn w:val="Normal"/>
    <w:next w:val="Normal"/>
    <w:qFormat/>
    <w:pPr>
      <w:spacing w:before="120" w:after="280"/>
    </w:pPr>
    <w:rPr>
      <w:rFonts w:ascii="Arial" w:hAnsi="Arial" w:cs="Arial"/>
      <w:b/>
      <w:sz w:val="24"/>
    </w:rPr>
  </w:style>
  <w:style w:type="paragraph" w:styleId="TOC1">
    <w:name w:val="toc 1"/>
    <w:basedOn w:val="Normal"/>
    <w:next w:val="Normal"/>
    <w:pPr>
      <w:tabs>
        <w:tab w:val="clear" w:pos="1418"/>
        <w:tab w:val="clear" w:pos="2126"/>
        <w:tab w:val="clear" w:pos="2835"/>
        <w:tab w:val="clear" w:pos="3544"/>
        <w:tab w:val="clear" w:pos="4253"/>
        <w:tab w:val="clear" w:pos="4961"/>
        <w:tab w:val="clear" w:pos="5670"/>
        <w:tab w:val="left" w:pos="709" w:leader="none"/>
        <w:tab w:val="right" w:pos="8363" w:leader="none"/>
      </w:tabs>
    </w:pPr>
    <w:rPr/>
  </w:style>
  <w:style w:type="paragraph" w:styleId="TOC2">
    <w:name w:val="toc 2"/>
    <w:basedOn w:val="Normal"/>
    <w:next w:val="Normal"/>
    <w:pPr>
      <w:tabs>
        <w:tab w:val="clear" w:pos="709"/>
        <w:tab w:val="clear" w:pos="2126"/>
        <w:tab w:val="clear" w:pos="2835"/>
        <w:tab w:val="clear" w:pos="3544"/>
        <w:tab w:val="clear" w:pos="4253"/>
        <w:tab w:val="clear" w:pos="4961"/>
        <w:tab w:val="clear" w:pos="5670"/>
        <w:tab w:val="left" w:pos="1418" w:leader="none"/>
        <w:tab w:val="right" w:pos="8363" w:leader="none"/>
      </w:tabs>
      <w:ind w:hanging="0" w:start="709" w:end="0"/>
    </w:pPr>
    <w:rPr/>
  </w:style>
  <w:style w:type="paragraph" w:styleId="TOC3">
    <w:name w:val="toc 3"/>
    <w:basedOn w:val="Normal"/>
    <w:next w:val="Normal"/>
    <w:pPr>
      <w:tabs>
        <w:tab w:val="clear" w:pos="709"/>
        <w:tab w:val="clear" w:pos="2126"/>
        <w:tab w:val="clear" w:pos="2835"/>
        <w:tab w:val="clear" w:pos="3544"/>
        <w:tab w:val="clear" w:pos="4253"/>
        <w:tab w:val="clear" w:pos="4961"/>
        <w:tab w:val="clear" w:pos="5670"/>
        <w:tab w:val="left" w:pos="1418" w:leader="none"/>
        <w:tab w:val="right" w:pos="8363" w:leader="none"/>
      </w:tabs>
      <w:ind w:hanging="0" w:start="709" w:end="0"/>
    </w:pPr>
    <w:rPr/>
  </w:style>
  <w:style w:type="paragraph" w:styleId="TOC4">
    <w:name w:val="toc 4"/>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600" w:end="0"/>
    </w:pPr>
    <w:rPr/>
  </w:style>
  <w:style w:type="paragraph" w:styleId="TOC5">
    <w:name w:val="toc 5"/>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800" w:end="0"/>
    </w:pPr>
    <w:rPr/>
  </w:style>
  <w:style w:type="paragraph" w:styleId="TOC6">
    <w:name w:val="toc 6"/>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1000" w:end="0"/>
    </w:pPr>
    <w:rPr/>
  </w:style>
  <w:style w:type="paragraph" w:styleId="TOC7">
    <w:name w:val="toc 7"/>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1200" w:end="0"/>
    </w:pPr>
    <w:rPr/>
  </w:style>
  <w:style w:type="paragraph" w:styleId="TOC8">
    <w:name w:val="toc 8"/>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1400" w:end="0"/>
    </w:pPr>
    <w:rPr/>
  </w:style>
  <w:style w:type="paragraph" w:styleId="TOC9">
    <w:name w:val="toc 9"/>
    <w:basedOn w:val="Normal"/>
    <w:next w:val="Normal"/>
    <w:pPr>
      <w:tabs>
        <w:tab w:val="clear" w:pos="709"/>
        <w:tab w:val="clear" w:pos="1418"/>
        <w:tab w:val="clear" w:pos="2126"/>
        <w:tab w:val="clear" w:pos="2835"/>
        <w:tab w:val="clear" w:pos="3544"/>
        <w:tab w:val="clear" w:pos="4253"/>
        <w:tab w:val="clear" w:pos="4961"/>
        <w:tab w:val="clear" w:pos="5670"/>
        <w:tab w:val="clear" w:pos="8363"/>
        <w:tab w:val="right" w:pos="8505" w:leader="dot"/>
      </w:tabs>
      <w:ind w:hanging="0" w:start="1600" w:end="0"/>
    </w:pPr>
    <w:rPr/>
  </w:style>
  <w:style w:type="paragraph" w:styleId="BackSheet">
    <w:name w:val="BackSheet"/>
    <w:basedOn w:val="Normal"/>
    <w:qFormat/>
    <w:pPr>
      <w:ind w:hanging="0" w:start="4253" w:end="0"/>
    </w:pPr>
    <w:rPr>
      <w:kern w:val="0"/>
    </w:rPr>
  </w:style>
  <w:style w:type="paragraph" w:styleId="FootnoteText">
    <w:name w:val="footnote text"/>
    <w:basedOn w:val="Normal"/>
    <w:pPr>
      <w:spacing w:lineRule="atLeast" w:line="220" w:before="0" w:after="200"/>
      <w:ind w:hanging="170" w:start="170" w:end="0"/>
    </w:pPr>
    <w:rPr>
      <w:sz w:val="16"/>
    </w:rPr>
  </w:style>
  <w:style w:type="paragraph" w:styleId="WW-Heading">
    <w:name w:val="WW-Heading"/>
    <w:basedOn w:val="Normal"/>
    <w:next w:val="Normal"/>
    <w:qFormat/>
    <w:pPr>
      <w:keepNext w:val="true"/>
      <w:keepLines/>
    </w:pPr>
    <w:rPr/>
  </w:style>
  <w:style w:type="paragraph" w:styleId="Indent1">
    <w:name w:val="Indent1"/>
    <w:basedOn w:val="Normal"/>
    <w:qFormat/>
    <w:pPr>
      <w:tabs>
        <w:tab w:val="left" w:pos="709" w:leader="none"/>
        <w:tab w:val="left" w:pos="1418" w:leader="none"/>
        <w:tab w:val="left" w:pos="1985" w:leader="none"/>
        <w:tab w:val="left" w:pos="2126" w:leader="none"/>
        <w:tab w:val="left" w:pos="2552" w:leader="none"/>
        <w:tab w:val="left" w:pos="2835" w:leader="none"/>
        <w:tab w:val="left" w:pos="3544" w:leader="none"/>
        <w:tab w:val="left" w:pos="4253" w:leader="none"/>
        <w:tab w:val="left" w:pos="4961" w:leader="none"/>
        <w:tab w:val="left" w:pos="5670" w:leader="none"/>
        <w:tab w:val="right" w:pos="8363" w:leader="none"/>
      </w:tabs>
      <w:ind w:hanging="567" w:start="1418" w:end="0"/>
    </w:pPr>
    <w:rPr/>
  </w:style>
  <w:style w:type="paragraph" w:styleId="indent2">
    <w:name w:val="indent2"/>
    <w:basedOn w:val="Normal"/>
    <w:qFormat/>
    <w:pPr>
      <w:tabs>
        <w:tab w:val="left" w:pos="709" w:leader="none"/>
        <w:tab w:val="left" w:pos="1418" w:leader="none"/>
        <w:tab w:val="left" w:pos="1985" w:leader="none"/>
        <w:tab w:val="left" w:pos="2126" w:leader="none"/>
        <w:tab w:val="left" w:pos="2552" w:leader="none"/>
        <w:tab w:val="left" w:pos="2835" w:leader="none"/>
        <w:tab w:val="left" w:pos="3544" w:leader="none"/>
        <w:tab w:val="left" w:pos="4253" w:leader="none"/>
        <w:tab w:val="left" w:pos="4961" w:leader="none"/>
        <w:tab w:val="left" w:pos="5670" w:leader="none"/>
        <w:tab w:val="right" w:pos="8363" w:leader="none"/>
      </w:tabs>
      <w:ind w:hanging="0" w:start="1418" w:end="0"/>
    </w:pPr>
    <w:rPr/>
  </w:style>
  <w:style w:type="paragraph" w:styleId="ListBullet">
    <w:name w:val="List Bullet"/>
    <w:basedOn w:val="Normal"/>
    <w:qFormat/>
    <w:pPr>
      <w:numPr>
        <w:ilvl w:val="0"/>
        <w:numId w:val="8"/>
      </w:numPr>
      <w:ind w:hanging="283" w:start="283" w:end="0"/>
    </w:pPr>
    <w:rPr/>
  </w:style>
  <w:style w:type="paragraph" w:styleId="ListBullet21">
    <w:name w:val="List Bullet 21"/>
    <w:basedOn w:val="Normal"/>
    <w:qFormat/>
    <w:pPr>
      <w:numPr>
        <w:ilvl w:val="0"/>
        <w:numId w:val="9"/>
      </w:numPr>
      <w:ind w:hanging="283" w:start="566" w:end="0"/>
    </w:pPr>
    <w:rPr/>
  </w:style>
  <w:style w:type="paragraph" w:styleId="ListBullet31">
    <w:name w:val="List Bullet 31"/>
    <w:basedOn w:val="Normal"/>
    <w:qFormat/>
    <w:pPr>
      <w:numPr>
        <w:ilvl w:val="0"/>
        <w:numId w:val="10"/>
      </w:numPr>
      <w:ind w:hanging="283" w:start="849" w:end="0"/>
    </w:pPr>
    <w:rPr/>
  </w:style>
  <w:style w:type="paragraph" w:styleId="ListBullet41">
    <w:name w:val="List Bullet 41"/>
    <w:basedOn w:val="Normal"/>
    <w:qFormat/>
    <w:pPr>
      <w:numPr>
        <w:ilvl w:val="0"/>
        <w:numId w:val="11"/>
      </w:numPr>
      <w:ind w:hanging="283" w:start="1132" w:end="0"/>
    </w:pPr>
    <w:rPr/>
  </w:style>
  <w:style w:type="paragraph" w:styleId="ListBullet51">
    <w:name w:val="List Bullet 51"/>
    <w:basedOn w:val="Normal"/>
    <w:qFormat/>
    <w:pPr>
      <w:numPr>
        <w:ilvl w:val="0"/>
        <w:numId w:val="12"/>
      </w:numPr>
      <w:ind w:hanging="283" w:start="1415"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lineRule="atLeast" w:line="160"/>
    </w:pPr>
    <w:rPr>
      <w:rFonts w:ascii="Courier New" w:hAnsi="Courier New" w:eastAsia="Times New Roman" w:cs="Courier New"/>
      <w:color w:val="auto"/>
      <w:sz w:val="16"/>
      <w:szCs w:val="20"/>
      <w:lang w:val="en-GB" w:eastAsia="zh-CN" w:bidi="hi-IN"/>
    </w:rPr>
  </w:style>
  <w:style w:type="paragraph" w:styleId="NormalIndent">
    <w:name w:val="Normal Indent"/>
    <w:basedOn w:val="Normal"/>
    <w:qFormat/>
    <w:pPr>
      <w:tabs>
        <w:tab w:val="left" w:pos="709" w:leader="none"/>
        <w:tab w:val="left" w:pos="1418" w:leader="none"/>
        <w:tab w:val="left" w:pos="1985" w:leader="none"/>
        <w:tab w:val="left" w:pos="2126" w:leader="none"/>
        <w:tab w:val="left" w:pos="2552" w:leader="none"/>
        <w:tab w:val="left" w:pos="2835" w:leader="none"/>
        <w:tab w:val="left" w:pos="3544" w:leader="none"/>
        <w:tab w:val="left" w:pos="4253" w:leader="none"/>
        <w:tab w:val="left" w:pos="4961" w:leader="none"/>
        <w:tab w:val="left" w:pos="5670" w:leader="none"/>
        <w:tab w:val="right" w:pos="8363" w:leader="none"/>
      </w:tabs>
      <w:ind w:hanging="0" w:start="851" w:end="0"/>
    </w:pPr>
    <w:rPr/>
  </w:style>
  <w:style w:type="paragraph" w:styleId="Quote">
    <w:name w:val="Quote"/>
    <w:basedOn w:val="Normal"/>
    <w:next w:val="Normal"/>
    <w:qFormat/>
    <w:pPr>
      <w:spacing w:lineRule="atLeast" w:line="240"/>
      <w:ind w:hanging="0" w:start="1418" w:end="0"/>
    </w:pPr>
    <w:rPr/>
  </w:style>
  <w:style w:type="paragraph" w:styleId="TableofAuthorities">
    <w:name w:val="Table of Authorities"/>
    <w:basedOn w:val="Normal"/>
    <w:next w:val="Normal"/>
    <w:qFormat/>
    <w:pPr>
      <w:tabs>
        <w:tab w:val="clear" w:pos="1418"/>
        <w:tab w:val="clear" w:pos="2126"/>
        <w:tab w:val="clear" w:pos="2835"/>
        <w:tab w:val="clear" w:pos="3544"/>
        <w:tab w:val="clear" w:pos="4253"/>
        <w:tab w:val="clear" w:pos="4961"/>
        <w:tab w:val="clear" w:pos="5670"/>
        <w:tab w:val="left" w:pos="709" w:leader="none"/>
        <w:tab w:val="right" w:pos="8363" w:leader="none"/>
      </w:tabs>
    </w:pPr>
    <w:rPr/>
  </w:style>
  <w:style w:type="paragraph" w:styleId="TableofFigures">
    <w:name w:val="Table of Figures"/>
    <w:basedOn w:val="Normal"/>
    <w:next w:val="Normal"/>
    <w:qFormat/>
    <w:pPr>
      <w:tabs>
        <w:tab w:val="clear" w:pos="1418"/>
        <w:tab w:val="clear" w:pos="2126"/>
        <w:tab w:val="clear" w:pos="2835"/>
        <w:tab w:val="clear" w:pos="3544"/>
        <w:tab w:val="clear" w:pos="4253"/>
        <w:tab w:val="clear" w:pos="4961"/>
        <w:tab w:val="clear" w:pos="5670"/>
        <w:tab w:val="left" w:pos="709" w:leader="none"/>
        <w:tab w:val="right" w:pos="8363" w:leader="none"/>
      </w:tabs>
    </w:pPr>
    <w:rPr/>
  </w:style>
  <w:style w:type="paragraph" w:styleId="TitleTOC">
    <w:name w:val="TitleTOC"/>
    <w:basedOn w:val="Normal"/>
    <w:qFormat/>
    <w:pPr>
      <w:jc w:val="center"/>
    </w:pPr>
    <w:rPr>
      <w:b/>
    </w:rPr>
  </w:style>
  <w:style w:type="paragraph" w:styleId="AnnotationText">
    <w:name w:val="Annotation Text"/>
    <w:basedOn w:val="Normal"/>
    <w:qFormat/>
    <w:pPr>
      <w:spacing w:lineRule="atLeast" w:line="220" w:before="0" w:after="200"/>
      <w:ind w:hanging="170" w:start="170" w:end="0"/>
    </w:pPr>
    <w:rPr>
      <w:sz w:val="16"/>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 w:type="numbering" w:styleId="WW8StyleNum8">
    <w:name w:val="WW8StyleNum8"/>
    <w:qFormat/>
  </w:style>
  <w:style w:type="numbering" w:styleId="WW8StyleNum9">
    <w:name w:val="WW8Style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Document Layouts.dot</Template>
  <TotalTime>86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2000-11-14T13:23:00Z</dcterms:created>
  <dc:creator>SJZC</dc:creator>
  <dc:description/>
  <dc:language>en-CA</dc:language>
  <cp:lastModifiedBy>ECXB</cp:lastModifiedBy>
  <cp:lastPrinted>2000-11-17T09:37:00Z</cp:lastPrinted>
  <dcterms:modified xsi:type="dcterms:W3CDTF">2000-11-17T07:15:00Z</dcterms:modified>
  <cp:revision>16</cp:revision>
  <dc:subject/>
  <dc:title>Document Layouts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dp_Author">
    <vt:lpwstr>ECXB</vt:lpwstr>
  </property>
  <property fmtid="{D5CDD505-2E9C-101B-9397-08002B2CF9AE}" pid="3" name="udp_BorderStyle">
    <vt:lpwstr>None</vt:lpwstr>
  </property>
  <property fmtid="{D5CDD505-2E9C-101B-9397-08002B2CF9AE}" pid="4" name="udp_CMNumber">
    <vt:lpwstr>214686/11000</vt:lpwstr>
  </property>
  <property fmtid="{D5CDD505-2E9C-101B-9397-08002B2CF9AE}" pid="5" name="udp_CatID">
    <vt:lpwstr> </vt:lpwstr>
  </property>
  <property fmtid="{D5CDD505-2E9C-101B-9397-08002B2CF9AE}" pid="6" name="udp_Class">
    <vt:lpwstr>SE</vt:lpwstr>
  </property>
  <property fmtid="{D5CDD505-2E9C-101B-9397-08002B2CF9AE}" pid="7" name="udp_Client">
    <vt:lpwstr>ENRON</vt:lpwstr>
  </property>
  <property fmtid="{D5CDD505-2E9C-101B-9397-08002B2CF9AE}" pid="8" name="udp_Department">
    <vt:lpwstr> </vt:lpwstr>
  </property>
  <property fmtid="{D5CDD505-2E9C-101B-9397-08002B2CF9AE}" pid="9" name="udp_DocID">
    <vt:lpwstr>LT003736393</vt:lpwstr>
  </property>
  <property fmtid="{D5CDD505-2E9C-101B-9397-08002B2CF9AE}" pid="10" name="udp_IsAtlasDoc">
    <vt:bool>1</vt:bool>
  </property>
  <property fmtid="{D5CDD505-2E9C-101B-9397-08002B2CF9AE}" pid="11" name="udp_Justified">
    <vt:bool>0</vt:bool>
  </property>
  <property fmtid="{D5CDD505-2E9C-101B-9397-08002B2CF9AE}" pid="12" name="udp_Layout">
    <vt:lpwstr>Slaughter and May 1</vt:lpwstr>
  </property>
  <property fmtid="{D5CDD505-2E9C-101B-9397-08002B2CF9AE}" pid="13" name="udp_Matter">
    <vt:lpwstr>ICI Warranty Claim</vt:lpwstr>
  </property>
  <property fmtid="{D5CDD505-2E9C-101B-9397-08002B2CF9AE}" pid="14" name="udp_Renumber">
    <vt:bool>0</vt:bool>
  </property>
  <property fmtid="{D5CDD505-2E9C-101B-9397-08002B2CF9AE}" pid="15" name="udp_TemplateVersion">
    <vt:lpwstr>1.03.0001</vt:lpwstr>
  </property>
  <property fmtid="{D5CDD505-2E9C-101B-9397-08002B2CF9AE}" pid="16" name="udp_Typist">
    <vt:lpwstr>Curtis, Sarah</vt:lpwstr>
  </property>
  <property fmtid="{D5CDD505-2E9C-101B-9397-08002B2CF9AE}" pid="17" name="udp_Version">
    <vt:lpwstr>7</vt:lpwstr>
  </property>
</Properties>
</file>