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6"/>
        </w:numPr>
        <w:rPr/>
      </w:pPr>
      <w:r>
        <w:rPr/>
        <w:t>Your company has some credit issues that we can help with.  We have some outstanding issues with you that we think can be resolved at little or no cost.</w:t>
      </w:r>
    </w:p>
    <w:p>
      <w:pPr>
        <w:pStyle w:val="Normal"/>
        <w:rPr/>
      </w:pPr>
      <w:r>
        <w:rPr/>
      </w:r>
    </w:p>
    <w:p>
      <w:pPr>
        <w:pStyle w:val="Normal"/>
        <w:numPr>
          <w:ilvl w:val="0"/>
          <w:numId w:val="6"/>
        </w:numPr>
        <w:rPr/>
      </w:pPr>
      <w:r>
        <w:rPr/>
        <w:t>One of the biggest claims relates to PG&amp;E’s failure to pay the “negative CTC” (roughly the difference between the spot power price and the tariff rate).</w:t>
      </w:r>
    </w:p>
    <w:p>
      <w:pPr>
        <w:pStyle w:val="Normal"/>
        <w:rPr/>
      </w:pPr>
      <w:r>
        <w:rPr/>
      </w:r>
    </w:p>
    <w:p>
      <w:pPr>
        <w:pStyle w:val="Normal"/>
        <w:numPr>
          <w:ilvl w:val="0"/>
          <w:numId w:val="6"/>
        </w:numPr>
        <w:rPr/>
      </w:pPr>
      <w:r>
        <w:rPr/>
        <w:t>PG&amp;E has acknowledged this obligation in writing, in person, and by phone.  PG&amp;E has even gone as far as scheduling payment to Enron (before stopping payment at the last minute).</w:t>
      </w:r>
    </w:p>
    <w:p>
      <w:pPr>
        <w:pStyle w:val="Normal"/>
        <w:rPr/>
      </w:pPr>
      <w:r>
        <w:rPr/>
      </w:r>
    </w:p>
    <w:p>
      <w:pPr>
        <w:pStyle w:val="Normal"/>
        <w:numPr>
          <w:ilvl w:val="0"/>
          <w:numId w:val="6"/>
        </w:numPr>
        <w:rPr/>
      </w:pPr>
      <w:r>
        <w:rPr/>
        <w:t>The continued failure to provide this payment has left us with no choice but to switch the delivery obligation to PG&amp;E.</w:t>
      </w:r>
    </w:p>
    <w:p>
      <w:pPr>
        <w:pStyle w:val="Normal"/>
        <w:rPr/>
      </w:pPr>
      <w:r>
        <w:rPr/>
      </w:r>
    </w:p>
    <w:p>
      <w:pPr>
        <w:pStyle w:val="Normal"/>
        <w:numPr>
          <w:ilvl w:val="0"/>
          <w:numId w:val="3"/>
        </w:numPr>
        <w:rPr/>
      </w:pPr>
      <w:r>
        <w:rPr/>
        <w:t>PG&amp;E is obligated to serve these customers.  There is a standardized process for switching the delivery obligation to and from PG&amp;E.  All we are asking for is that PG&amp;E process the switching requests in a timely fashion (i.e. to be effective February 1).</w:t>
      </w:r>
    </w:p>
    <w:p>
      <w:pPr>
        <w:pStyle w:val="Normal"/>
        <w:rPr/>
      </w:pPr>
      <w:r>
        <w:rPr/>
      </w:r>
    </w:p>
    <w:p>
      <w:pPr>
        <w:pStyle w:val="Normal"/>
        <w:numPr>
          <w:ilvl w:val="0"/>
          <w:numId w:val="3"/>
        </w:numPr>
        <w:rPr/>
      </w:pPr>
      <w:r>
        <w:rPr/>
        <w:t>We can help PG&amp;E as well.</w:t>
      </w:r>
    </w:p>
    <w:p>
      <w:pPr>
        <w:pStyle w:val="Normal"/>
        <w:rPr/>
      </w:pPr>
      <w:r>
        <w:rPr/>
      </w:r>
    </w:p>
    <w:p>
      <w:pPr>
        <w:pStyle w:val="Normal"/>
        <w:numPr>
          <w:ilvl w:val="0"/>
          <w:numId w:val="2"/>
        </w:numPr>
        <w:rPr/>
      </w:pPr>
      <w:r>
        <w:rPr/>
        <w:t>We will continue to maintain our energy management relationships with these customers.  In fact, we will aggressively pursue conservation and demand side reductions which will improve the overall supply/demand situation for PG&amp;E and the state.</w:t>
      </w:r>
    </w:p>
    <w:p>
      <w:pPr>
        <w:pStyle w:val="Normal"/>
        <w:rPr/>
      </w:pPr>
      <w:r>
        <w:rPr/>
      </w:r>
    </w:p>
    <w:p>
      <w:pPr>
        <w:pStyle w:val="Normal"/>
        <w:ind w:start="720" w:end="0"/>
        <w:rPr>
          <w:i/>
          <w:i/>
        </w:rPr>
      </w:pPr>
      <w:r>
        <w:rPr>
          <w:i/>
        </w:rPr>
        <w:t>[Follow up points (if necessary):</w:t>
      </w:r>
    </w:p>
    <w:p>
      <w:pPr>
        <w:pStyle w:val="Normal"/>
        <w:numPr>
          <w:ilvl w:val="0"/>
          <w:numId w:val="8"/>
        </w:numPr>
        <w:tabs>
          <w:tab w:val="clear" w:pos="720"/>
          <w:tab w:val="left" w:pos="1080" w:leader="none"/>
        </w:tabs>
        <w:ind w:hanging="360" w:start="1080" w:end="0"/>
        <w:rPr/>
      </w:pPr>
      <w:r>
        <w:rPr>
          <w:i/>
        </w:rPr>
        <w:t>We’ve put together a plan which we believe will reduce demand by 1000 MW this year and another 1000MW next year.]</w:t>
      </w:r>
    </w:p>
    <w:p>
      <w:pPr>
        <w:pStyle w:val="Normal"/>
        <w:rPr/>
      </w:pPr>
      <w:r>
        <w:rPr/>
      </w:r>
    </w:p>
    <w:p>
      <w:pPr>
        <w:pStyle w:val="Normal"/>
        <w:numPr>
          <w:ilvl w:val="0"/>
          <w:numId w:val="3"/>
        </w:numPr>
        <w:rPr/>
      </w:pPr>
      <w:r>
        <w:rPr/>
        <w:t>We are willing to forbear joining in a petition forcing PG&amp;E into bankruptcy.</w:t>
      </w:r>
    </w:p>
    <w:p>
      <w:pPr>
        <w:pStyle w:val="Normal"/>
        <w:rPr/>
      </w:pPr>
      <w:r>
        <w:rPr/>
      </w:r>
    </w:p>
    <w:p>
      <w:pPr>
        <w:pStyle w:val="Normal"/>
        <w:ind w:start="720" w:end="0"/>
        <w:rPr>
          <w:i/>
          <w:i/>
        </w:rPr>
      </w:pPr>
      <w:r>
        <w:rPr>
          <w:i/>
        </w:rPr>
        <w:t>[Follow up points (if necessary):</w:t>
      </w:r>
    </w:p>
    <w:p>
      <w:pPr>
        <w:pStyle w:val="Normal"/>
        <w:numPr>
          <w:ilvl w:val="0"/>
          <w:numId w:val="5"/>
        </w:numPr>
        <w:tabs>
          <w:tab w:val="clear" w:pos="720"/>
          <w:tab w:val="left" w:pos="1080" w:leader="none"/>
        </w:tabs>
        <w:ind w:hanging="360" w:start="1080" w:end="0"/>
        <w:rPr>
          <w:i/>
          <w:i/>
        </w:rPr>
      </w:pPr>
      <w:r>
        <w:rPr>
          <w:i/>
        </w:rPr>
        <w:t>We have a master swap agreement, which they have defaulted under.</w:t>
      </w:r>
    </w:p>
    <w:p>
      <w:pPr>
        <w:pStyle w:val="Normal"/>
        <w:numPr>
          <w:ilvl w:val="0"/>
          <w:numId w:val="5"/>
        </w:numPr>
        <w:tabs>
          <w:tab w:val="clear" w:pos="720"/>
          <w:tab w:val="left" w:pos="1080" w:leader="none"/>
        </w:tabs>
        <w:ind w:hanging="360" w:start="1080" w:end="0"/>
        <w:rPr>
          <w:i/>
          <w:i/>
        </w:rPr>
      </w:pPr>
      <w:r>
        <w:rPr>
          <w:i/>
        </w:rPr>
        <w:t>They may argue that DOE will prevent us from terminating agreements:  Response:  No order applies to swaps; serious doubt about further extensions of DOE orders by new administration.]</w:t>
      </w:r>
    </w:p>
    <w:p>
      <w:pPr>
        <w:pStyle w:val="Normal"/>
        <w:rPr>
          <w:i/>
          <w:i/>
        </w:rPr>
      </w:pPr>
      <w:r>
        <w:rPr>
          <w:i/>
        </w:rPr>
      </w:r>
    </w:p>
    <w:p>
      <w:pPr>
        <w:pStyle w:val="Normal"/>
        <w:numPr>
          <w:ilvl w:val="0"/>
          <w:numId w:val="10"/>
        </w:numPr>
        <w:rPr/>
      </w:pPr>
      <w:r>
        <w:rPr/>
        <w:t>Second . . .and if you need to evaluate or think about this separately for regulatory reasons, fine. . . your non-regulated business have substantial obligations to collateralize.  Those obligations have not been met.  These obligations are significant. . . approximately $315 million.  We have called on approximately $212 million in collateral under those obligations.  Your people have proposed a number of arrangements as alternatives to providing this collateral.  We are willing to sign off on the proposals your team and mine have been working on which include the following:</w:t>
      </w:r>
    </w:p>
    <w:p>
      <w:pPr>
        <w:pStyle w:val="Normal"/>
        <w:rPr/>
      </w:pPr>
      <w:r>
        <w:rPr/>
      </w:r>
    </w:p>
    <w:p>
      <w:pPr>
        <w:pStyle w:val="Normal"/>
        <w:numPr>
          <w:ilvl w:val="0"/>
          <w:numId w:val="4"/>
        </w:numPr>
        <w:tabs>
          <w:tab w:val="clear" w:pos="720"/>
          <w:tab w:val="left" w:pos="1080" w:leader="none"/>
        </w:tabs>
        <w:ind w:hanging="360" w:start="1080" w:end="0"/>
        <w:rPr/>
      </w:pPr>
      <w:r>
        <w:rPr/>
        <w:t>transfer guarantees from PG&amp;E Corp. to PG&amp;E National Energy Group, Inc.</w:t>
      </w:r>
    </w:p>
    <w:p>
      <w:pPr>
        <w:pStyle w:val="Normal"/>
        <w:numPr>
          <w:ilvl w:val="0"/>
          <w:numId w:val="4"/>
        </w:numPr>
        <w:tabs>
          <w:tab w:val="clear" w:pos="720"/>
          <w:tab w:val="left" w:pos="1080" w:leader="none"/>
        </w:tabs>
        <w:ind w:hanging="360" w:start="1080" w:end="0"/>
        <w:rPr/>
      </w:pPr>
      <w:r>
        <w:rPr/>
        <w:t>enter into a master netting and set off agreement.</w:t>
      </w:r>
    </w:p>
    <w:p>
      <w:pPr>
        <w:pStyle w:val="Normal"/>
        <w:numPr>
          <w:ilvl w:val="0"/>
          <w:numId w:val="4"/>
        </w:numPr>
        <w:tabs>
          <w:tab w:val="clear" w:pos="720"/>
          <w:tab w:val="left" w:pos="1080" w:leader="none"/>
        </w:tabs>
        <w:ind w:hanging="360" w:start="1080" w:end="0"/>
        <w:rPr/>
      </w:pPr>
      <w:r>
        <w:rPr/>
        <w:t>take assignment of certain purchase agreements for power and gas from other sellers in lieu of physical performance by the non-regulated entities.</w:t>
      </w:r>
    </w:p>
    <w:p>
      <w:pPr>
        <w:pStyle w:val="Normal"/>
        <w:rPr/>
      </w:pPr>
      <w:r>
        <w:rPr/>
      </w:r>
    </w:p>
    <w:p>
      <w:pPr>
        <w:pStyle w:val="Normal"/>
        <w:numPr>
          <w:ilvl w:val="0"/>
          <w:numId w:val="7"/>
        </w:numPr>
        <w:rPr/>
      </w:pPr>
      <w:r>
        <w:rPr/>
        <w:t>These arrangements have been in discussion already between our teams and can be resolved quickly.  We are willing to move forward now to finalize the documents.  Additionally, we are willing to continue discussions to provide additional credit and liquidity to your non-regulated business [it is worth noting we have helped them out in the past].</w:t>
      </w:r>
    </w:p>
    <w:p>
      <w:pPr>
        <w:pStyle w:val="Normal"/>
        <w:rPr/>
      </w:pPr>
      <w:r>
        <w:rPr/>
      </w:r>
    </w:p>
    <w:p>
      <w:pPr>
        <w:pStyle w:val="Normal"/>
        <w:numPr>
          <w:ilvl w:val="0"/>
          <w:numId w:val="9"/>
        </w:numPr>
        <w:rPr/>
      </w:pPr>
      <w:r>
        <w:rPr/>
        <w:t xml:space="preserve">Let me reemphasize one key point:  All we are asking you to do is expedite the processing of our switching requests.  In other words we are just asking you to fulfill (by a date certain – Feb. 1) the obligations you have anyway.  </w:t>
      </w:r>
    </w:p>
    <w:p>
      <w:pPr>
        <w:pStyle w:val="Normal"/>
        <w:rPr/>
      </w:pPr>
      <w:r>
        <w:rPr/>
      </w:r>
    </w:p>
    <w:p>
      <w:pPr>
        <w:pStyle w:val="Normal"/>
        <w:ind w:start="360" w:end="0"/>
        <w:rPr/>
      </w:pPr>
      <w:r>
        <w:rPr/>
        <w:t>[If he presses on whether the arrangements we are proposing are tied:</w:t>
      </w:r>
    </w:p>
    <w:p>
      <w:pPr>
        <w:pStyle w:val="Normal"/>
        <w:ind w:start="360" w:end="0"/>
        <w:rPr/>
      </w:pPr>
      <w:r>
        <w:rPr/>
      </w:r>
    </w:p>
    <w:p>
      <w:pPr>
        <w:pStyle w:val="Normal"/>
        <w:numPr>
          <w:ilvl w:val="0"/>
          <w:numId w:val="1"/>
        </w:numPr>
        <w:tabs>
          <w:tab w:val="clear" w:pos="720"/>
          <w:tab w:val="left" w:pos="1080" w:leader="none"/>
        </w:tabs>
        <w:ind w:hanging="360" w:start="1080" w:end="0"/>
        <w:rPr/>
      </w:pPr>
      <w:r>
        <w:rPr/>
        <w:t>We are trying to resolve what we see as an integrated problem for Enron.  If you need to evaluate these separately, that’s up to you.]</w:t>
      </w:r>
    </w:p>
    <w:p>
      <w:pPr>
        <w:pStyle w:val="Normal"/>
        <w:rPr/>
      </w:pPr>
      <w:r>
        <w:rPr/>
      </w:r>
    </w:p>
    <w:sectPr>
      <w:type w:val="nextPage"/>
      <w:pgSz w:w="12240" w:h="15840"/>
      <w:pgMar w:left="1800" w:right="1627" w:gutter="0" w:header="0" w:top="2160" w:footer="0" w:bottom="6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480"/>
        </w:tabs>
        <w:ind w:start="480" w:hanging="360"/>
      </w:pPr>
      <w:rPr>
        <w:rFonts w:ascii="Times New Roman" w:hAnsi="Times New Roman" w:cs="Times New Roman"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480"/>
        </w:tabs>
        <w:ind w:start="480" w:hanging="360"/>
      </w:pPr>
      <w:rPr>
        <w:rFonts w:ascii="Times New Roman" w:hAnsi="Times New Roman" w:cs="Times New Roman" w:hint="default"/>
      </w:rPr>
    </w:lvl>
  </w:abstractNum>
  <w:abstractNum w:abstractNumId="5">
    <w:lvl w:ilvl="0">
      <w:numFmt w:val="bullet"/>
      <w:lvlText w:val="-"/>
      <w:lvlJc w:val="start"/>
      <w:pPr>
        <w:tabs>
          <w:tab w:val="num" w:pos="480"/>
        </w:tabs>
        <w:ind w:start="480" w:hanging="360"/>
      </w:pPr>
      <w:rPr>
        <w:rFonts w:ascii="Times New Roman" w:hAnsi="Times New Roman" w:cs="Times New Roman"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numFmt w:val="bullet"/>
      <w:lvlText w:val="-"/>
      <w:lvlJc w:val="start"/>
      <w:pPr>
        <w:tabs>
          <w:tab w:val="num" w:pos="480"/>
        </w:tabs>
        <w:ind w:start="480" w:hanging="360"/>
      </w:pPr>
      <w:rPr>
        <w:rFonts w:ascii="Times New Roman" w:hAnsi="Times New Roman" w:cs="Times New Roman"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rFonts w:ascii="Times New Roman" w:hAnsi="Times New Roman" w:cs="Times New Roman"/>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Times New Roman" w:hAnsi="Times New Roman" w:cs="Times New Roman"/>
    </w:rPr>
  </w:style>
  <w:style w:type="character" w:styleId="WW8Num18z0">
    <w:name w:val="WW8Num18z0"/>
    <w:qFormat/>
    <w:rPr>
      <w:rFonts w:ascii="Times New Roman" w:hAnsi="Times New Roman" w:cs="Times New Roman"/>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2001-01-23T13:53:00Z</dcterms:created>
  <dc:creator>Tori Wells</dc:creator>
  <dc:description/>
  <dc:language>en-CA</dc:language>
  <cp:lastModifiedBy>Tori Wells</cp:lastModifiedBy>
  <cp:lastPrinted>2001-01-23T11:23:00Z</cp:lastPrinted>
  <dcterms:modified xsi:type="dcterms:W3CDTF">2001-01-23T15:09:00Z</dcterms:modified>
  <cp:revision>5</cp:revision>
  <dc:subject/>
  <dc:title> We have some outstanding claims against PG&amp;E</dc:title>
</cp:coreProperties>
</file>