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t>November 19,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Southwest Gas Corporation</w:t>
      </w:r>
    </w:p>
    <w:p>
      <w:pPr>
        <w:pStyle w:val="Normal"/>
        <w:rPr>
          <w:rFonts w:eastAsia="Arial Unicode MS"/>
        </w:rPr>
      </w:pPr>
      <w:r>
        <w:rPr>
          <w:rFonts w:eastAsia="Arial Unicode MS"/>
        </w:rPr>
        <w:t>Mr. Tom Armstrong</w:t>
      </w:r>
    </w:p>
    <w:p>
      <w:pPr>
        <w:pStyle w:val="Normal"/>
        <w:rPr>
          <w:rFonts w:eastAsia="Arial Unicode MS"/>
        </w:rPr>
      </w:pPr>
      <w:r>
        <w:rPr>
          <w:rFonts w:eastAsia="Arial Unicode MS"/>
        </w:rPr>
        <w:t>5241 Spring Mountain Road</w:t>
      </w:r>
    </w:p>
    <w:p>
      <w:pPr>
        <w:pStyle w:val="Normal"/>
        <w:rPr>
          <w:rFonts w:eastAsia="Arial Unicode MS"/>
        </w:rPr>
      </w:pPr>
      <w:r>
        <w:rPr>
          <w:rFonts w:eastAsia="Arial Unicode MS"/>
        </w:rPr>
        <w:t>P.O. Box 98510</w:t>
      </w:r>
    </w:p>
    <w:p>
      <w:pPr>
        <w:pStyle w:val="Normal"/>
        <w:rPr>
          <w:rFonts w:eastAsia="Arial Unicode MS"/>
        </w:rPr>
      </w:pPr>
      <w:r>
        <w:rPr>
          <w:rFonts w:eastAsia="Arial Unicode MS"/>
        </w:rPr>
        <w:t>Las Vegas, NV 89193-8510</w:t>
      </w:r>
    </w:p>
    <w:p>
      <w:pPr>
        <w:pStyle w:val="Normal"/>
        <w:rPr>
          <w:rFonts w:eastAsia="Arial Unicode MS"/>
        </w:rPr>
      </w:pPr>
      <w:r>
        <w:rPr>
          <w:rFonts w:eastAsia="Arial Unicode MS"/>
        </w:rPr>
      </w:r>
    </w:p>
    <w:p>
      <w:pPr>
        <w:pStyle w:val="Normal"/>
        <w:rPr>
          <w:rFonts w:eastAsia="Arial Unicode MS"/>
        </w:rPr>
      </w:pPr>
      <w:r>
        <w:rPr>
          <w:rFonts w:eastAsia="Arial Unicode MS"/>
        </w:rPr>
        <w:t>Via Fax:  702 876 7037</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Re:</w:t>
        <w:tab/>
        <w:t>Proposed Firm Transportation Service for Red Rock Expansion Capacity</w:t>
      </w:r>
    </w:p>
    <w:p>
      <w:pPr>
        <w:pStyle w:val="Normal"/>
        <w:rPr>
          <w:rFonts w:eastAsia="Arial Unicode MS"/>
        </w:rPr>
      </w:pPr>
      <w:r>
        <w:rPr>
          <w:rFonts w:eastAsia="Arial Unicode MS"/>
        </w:rPr>
      </w:r>
    </w:p>
    <w:p>
      <w:pPr>
        <w:pStyle w:val="Normal"/>
        <w:rPr>
          <w:rFonts w:eastAsia="Arial Unicode MS"/>
        </w:rPr>
      </w:pPr>
      <w:r>
        <w:rPr>
          <w:rFonts w:eastAsia="Arial Unicode MS"/>
        </w:rPr>
        <w:t>Dear Mr. Armstrong,</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Southwest Gas Corporation (“SWG”).  This agreement will be for the purpose of transporting gas on the TW system utilizing Red Rock Expansion Capacity from various receipt points in the East of Thoreau Area to the TW/SoCal Gas Topock pipeline interconnect in Mohave County, Arizona.</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TW/SoCal Gas Topock  Interconnect in Mohave County, Arizona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13,300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r>
      <w:r>
        <w:rPr>
          <w:rFonts w:eastAsia="Arial Unicode MS"/>
        </w:rPr>
        <w:t>November through March (five months) annually, 10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November 2002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A one-part rate of $0.195 MMBtu/d.</w:t>
      </w:r>
      <w:r>
        <w:rPr>
          <w:rFonts w:eastAsia="Arial Unicode MS"/>
          <w:b/>
          <w:bCs/>
        </w:rPr>
        <w:t xml:space="preserve">  </w:t>
      </w:r>
      <w:r>
        <w:rPr>
          <w:rFonts w:eastAsia="Arial Unicode MS"/>
        </w:rPr>
        <w:t xml:space="preserve">For every year after the first year, the rate will escalate by $0.005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term of 60 days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Steven M. Harris</w:t>
      </w:r>
    </w:p>
    <w:p>
      <w:pPr>
        <w:pStyle w:val="BodyText"/>
        <w:rPr>
          <w:rFonts w:eastAsia="Arial Unicode MS"/>
          <w:sz w:val="24"/>
        </w:rPr>
      </w:pPr>
      <w:r>
        <w:rPr>
          <w:rFonts w:eastAsia="Arial Unicode MS"/>
          <w:sz w:val="24"/>
        </w:rPr>
        <w:t>Vice President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2001-11-19T20:14:00Z</dcterms:created>
  <dc:creator>kwatson</dc:creator>
  <dc:description/>
  <dc:language>en-CA</dc:language>
  <cp:lastModifiedBy>kwatson</cp:lastModifiedBy>
  <cp:lastPrinted>2001-11-19T16:43:00Z</cp:lastPrinted>
  <dcterms:modified xsi:type="dcterms:W3CDTF">2001-11-19T20:26:00Z</dcterms:modified>
  <cp:revision>4</cp:revision>
  <dc:subject/>
  <dc:title>September  27, 2001</dc:title>
</cp:coreProperties>
</file>