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278" w:type="dxa"/>
        <w:jc w:val="start"/>
        <w:tblInd w:w="0" w:type="dxa"/>
        <w:tblLayout w:type="fixed"/>
        <w:tblCellMar>
          <w:top w:w="0" w:type="dxa"/>
          <w:start w:w="108" w:type="dxa"/>
          <w:bottom w:w="0" w:type="dxa"/>
          <w:end w:w="108" w:type="dxa"/>
        </w:tblCellMar>
      </w:tblPr>
      <w:tblGrid>
        <w:gridCol w:w="3978"/>
        <w:gridCol w:w="6300"/>
      </w:tblGrid>
      <w:tr>
        <w:trPr/>
        <w:tc>
          <w:tcPr>
            <w:tcW w:w="3978" w:type="dxa"/>
            <w:tcBorders/>
          </w:tcPr>
          <w:p>
            <w:pPr>
              <w:pStyle w:val="Normal"/>
              <w:spacing w:before="300" w:after="300"/>
              <w:ind w:start="72" w:end="0"/>
              <w:rPr/>
            </w:pPr>
            <w:r>
              <w:rPr/>
              <w:drawing>
                <wp:inline distT="0" distB="0" distL="0" distR="0">
                  <wp:extent cx="1451610" cy="11391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451610" cy="1139190"/>
                          </a:xfrm>
                          <a:prstGeom prst="rect">
                            <a:avLst/>
                          </a:prstGeom>
                          <a:noFill/>
                        </pic:spPr>
                      </pic:pic>
                    </a:graphicData>
                  </a:graphic>
                </wp:inline>
              </w:drawing>
            </w:r>
          </w:p>
        </w:tc>
        <w:tc>
          <w:tcPr>
            <w:tcW w:w="6300" w:type="dxa"/>
            <w:tcBorders/>
          </w:tcPr>
          <w:p>
            <w:pPr>
              <w:pStyle w:val="Normal"/>
              <w:tabs>
                <w:tab w:val="clear" w:pos="720"/>
                <w:tab w:val="left" w:pos="2808" w:leader="none"/>
              </w:tabs>
              <w:snapToGrid w:val="false"/>
              <w:ind w:end="-72"/>
              <w:jc w:val="end"/>
              <w:rPr>
                <w:rFonts w:ascii="Interstate-Light" w:hAnsi="Interstate-Light" w:eastAsia="Interstate-Light" w:cs="Interstate-Light"/>
                <w:sz w:val="60"/>
                <w:szCs w:val="60"/>
              </w:rPr>
            </w:pPr>
            <w:r>
              <w:rPr>
                <w:rFonts w:eastAsia="Interstate-Light" w:cs="Interstate-Light" w:ascii="Interstate-Light" w:hAnsi="Interstate-Light"/>
                <w:sz w:val="60"/>
                <w:szCs w:val="60"/>
              </w:rPr>
            </w:r>
          </w:p>
          <w:p>
            <w:pPr>
              <w:pStyle w:val="Normal"/>
              <w:tabs>
                <w:tab w:val="clear" w:pos="720"/>
                <w:tab w:val="left" w:pos="2808" w:leader="none"/>
              </w:tabs>
              <w:ind w:end="-72"/>
              <w:jc w:val="end"/>
              <w:rPr>
                <w:rFonts w:ascii="Interstate-Light" w:hAnsi="Interstate-Light" w:eastAsia="Interstate-Light" w:cs="Interstate-Light"/>
                <w:sz w:val="36"/>
                <w:szCs w:val="36"/>
              </w:rPr>
            </w:pPr>
            <w:r>
              <w:rPr>
                <w:rFonts w:eastAsia="Interstate-Light" w:cs="Interstate-Light" w:ascii="Interstate-Light" w:hAnsi="Interstate-Light"/>
                <w:sz w:val="36"/>
                <w:szCs w:val="36"/>
              </w:rPr>
            </w:r>
          </w:p>
          <w:p>
            <w:pPr>
              <w:pStyle w:val="Normal"/>
              <w:tabs>
                <w:tab w:val="clear" w:pos="720"/>
                <w:tab w:val="left" w:pos="2808" w:leader="none"/>
              </w:tabs>
              <w:spacing w:before="80" w:after="0"/>
              <w:ind w:end="-72"/>
              <w:jc w:val="end"/>
              <w:rPr>
                <w:rFonts w:ascii="Interstate-Light" w:hAnsi="Interstate-Light" w:eastAsia="Interstate-Light" w:cs="Interstate-Light"/>
                <w:sz w:val="40"/>
                <w:szCs w:val="40"/>
              </w:rPr>
            </w:pPr>
            <w:r>
              <w:fldChar w:fldCharType="begin">
                <w:ffData>
                  <w:name w:val="MEMO"/>
                  <w:enabled/>
                  <w:ddList>
                    <w:result w:val="0"/>
                  </w:ddList>
                </w:ffData>
              </w:fldChar>
            </w:r>
            <w:r>
              <w:rPr>
                <w:sz w:val="56"/>
                <w:szCs w:val="56"/>
                <w:rFonts w:eastAsia="Interstate-Light" w:cs="Interstate-Light" w:ascii="Interstate-Light" w:hAnsi="Interstate-Light"/>
              </w:rPr>
              <w:instrText xml:space="preserve"> FORMDROPDOWN </w:instrText>
            </w:r>
            <w:r>
              <w:rPr>
                <w:sz w:val="56"/>
                <w:szCs w:val="56"/>
                <w:rFonts w:eastAsia="Interstate-Light" w:cs="Interstate-Light" w:ascii="Interstate-Light" w:hAnsi="Interstate-Light"/>
              </w:rPr>
              <w:fldChar w:fldCharType="separate"/>
            </w:r>
            <w:bookmarkStart w:id="0" w:name="MEMO"/>
            <w:bookmarkStart w:id="1" w:name="MEMO"/>
            <w:bookmarkEnd w:id="1"/>
            <w:r>
              <w:rPr>
                <w:rFonts w:eastAsia="Interstate-Light" w:cs="Interstate-Light" w:ascii="Interstate-Light" w:hAnsi="Interstate-Light"/>
                <w:sz w:val="56"/>
                <w:szCs w:val="56"/>
              </w:rPr>
            </w:r>
            <w:r>
              <w:rPr>
                <w:sz w:val="56"/>
                <w:szCs w:val="56"/>
                <w:rFonts w:eastAsia="Interstate-Light" w:cs="Interstate-Light" w:ascii="Interstate-Light" w:hAnsi="Interstate-Light"/>
              </w:rPr>
              <w:fldChar w:fldCharType="end"/>
            </w:r>
            <w:r>
              <w:rPr>
                <w:rFonts w:eastAsia="Interstate-Light" w:cs="Interstate-Light" w:ascii="Interstate-Light" w:hAnsi="Interstate-Light"/>
                <w:sz w:val="56"/>
                <w:szCs w:val="56"/>
              </w:rPr>
              <w:t xml:space="preserve"> </w:t>
            </w:r>
          </w:p>
          <w:p>
            <w:pPr>
              <w:pStyle w:val="Normal"/>
              <w:tabs>
                <w:tab w:val="clear" w:pos="720"/>
                <w:tab w:val="left" w:pos="2808" w:leader="none"/>
              </w:tabs>
              <w:spacing w:lineRule="exact" w:line="180"/>
              <w:ind w:end="-72"/>
              <w:jc w:val="end"/>
              <w:rPr>
                <w:rFonts w:ascii="Interstate-Light" w:hAnsi="Interstate-Light" w:eastAsia="Interstate-Light" w:cs="Interstate-Light"/>
                <w:sz w:val="40"/>
                <w:szCs w:val="40"/>
              </w:rPr>
            </w:pPr>
            <w:r>
              <w:rPr>
                <w:rFonts w:eastAsia="Interstate-Light" w:cs="Interstate-Light" w:ascii="Interstate-Light" w:hAnsi="Interstate-Light"/>
                <w:sz w:val="40"/>
                <w:szCs w:val="40"/>
              </w:rPr>
            </w:r>
          </w:p>
        </w:tc>
      </w:tr>
    </w:tbl>
    <w:p>
      <w:pPr>
        <w:sectPr>
          <w:type w:val="nextPage"/>
          <w:pgSz w:w="12240" w:h="15840"/>
          <w:pgMar w:left="720" w:right="1152" w:gutter="0" w:header="0" w:top="360" w:footer="0" w:bottom="1440"/>
          <w:pgNumType w:fmt="decimal"/>
          <w:formProt w:val="false"/>
          <w:titlePg/>
          <w:textDirection w:val="lrTb"/>
        </w:sectPr>
      </w:pPr>
    </w:p>
    <w:p>
      <w:pPr>
        <w:pStyle w:val="Normal"/>
        <w:rPr/>
      </w:pPr>
      <w:r>
        <w:rPr/>
      </w:r>
    </w:p>
    <w:tbl>
      <w:tblPr>
        <w:tblW w:w="9486" w:type="dxa"/>
        <w:jc w:val="start"/>
        <w:tblInd w:w="0" w:type="dxa"/>
        <w:tblLayout w:type="fixed"/>
        <w:tblCellMar>
          <w:top w:w="0" w:type="dxa"/>
          <w:start w:w="36" w:type="dxa"/>
          <w:bottom w:w="0" w:type="dxa"/>
          <w:end w:w="36" w:type="dxa"/>
        </w:tblCellMar>
      </w:tblPr>
      <w:tblGrid>
        <w:gridCol w:w="756"/>
        <w:gridCol w:w="8730"/>
      </w:tblGrid>
      <w:tr>
        <w:trPr/>
        <w:tc>
          <w:tcPr>
            <w:tcW w:w="756" w:type="dxa"/>
            <w:tcBorders/>
          </w:tcPr>
          <w:p>
            <w:pPr>
              <w:pStyle w:val="Normal"/>
              <w:spacing w:before="140" w:after="60"/>
              <w:rPr>
                <w:rFonts w:ascii="Interstate-Light" w:hAnsi="Interstate-Light" w:eastAsia="Interstate-Light" w:cs="Interstate-Light"/>
                <w:b/>
                <w:bCs/>
                <w:sz w:val="16"/>
                <w:szCs w:val="16"/>
              </w:rPr>
            </w:pPr>
            <w:r>
              <w:rPr>
                <w:rFonts w:eastAsia="Interstate-Light" w:cs="Interstate-Light" w:ascii="Interstate-Light" w:hAnsi="Interstate-Light"/>
                <w:b/>
                <w:bCs/>
                <w:sz w:val="16"/>
                <w:szCs w:val="16"/>
              </w:rPr>
              <w:t>To:</w:t>
            </w:r>
          </w:p>
        </w:tc>
        <w:tc>
          <w:tcPr>
            <w:tcW w:w="8730" w:type="dxa"/>
            <w:tcBorders/>
          </w:tcPr>
          <w:p>
            <w:pPr>
              <w:pStyle w:val="Normal"/>
              <w:spacing w:before="60" w:after="60"/>
              <w:rPr/>
            </w:pPr>
            <w:bookmarkStart w:id="2" w:name="AddresseeName"/>
            <w:bookmarkEnd w:id="2"/>
            <w:r>
              <w:rPr/>
              <w:t xml:space="preserve">Gwen Marelli </w:t>
              <w:br/>
              <w:t xml:space="preserve">Deanna Haines </w:t>
              <w:br/>
              <w:t>Joyce Padleschat</w:t>
            </w:r>
          </w:p>
        </w:tc>
      </w:tr>
      <w:tr>
        <w:trPr>
          <w:trHeight w:val="400" w:hRule="exact"/>
        </w:trPr>
        <w:tc>
          <w:tcPr>
            <w:tcW w:w="756" w:type="dxa"/>
            <w:tcBorders/>
          </w:tcPr>
          <w:p>
            <w:pPr>
              <w:pStyle w:val="Normal"/>
              <w:spacing w:before="140" w:after="60"/>
              <w:rPr>
                <w:rFonts w:ascii="Interstate-Light" w:hAnsi="Interstate-Light" w:eastAsia="Interstate-Light" w:cs="Interstate-Light"/>
                <w:b/>
                <w:bCs/>
                <w:sz w:val="16"/>
                <w:szCs w:val="16"/>
              </w:rPr>
            </w:pPr>
            <w:r>
              <w:rPr>
                <w:rFonts w:eastAsia="Interstate-Light" w:cs="Interstate-Light" w:ascii="Interstate-Light" w:hAnsi="Interstate-Light"/>
                <w:b/>
                <w:bCs/>
                <w:sz w:val="16"/>
                <w:szCs w:val="16"/>
              </w:rPr>
              <w:t>From:</w:t>
            </w:r>
          </w:p>
        </w:tc>
        <w:tc>
          <w:tcPr>
            <w:tcW w:w="8730" w:type="dxa"/>
            <w:tcBorders/>
          </w:tcPr>
          <w:p>
            <w:pPr>
              <w:pStyle w:val="Normal"/>
              <w:spacing w:before="60" w:after="60"/>
              <w:rPr/>
            </w:pPr>
            <w:r>
              <w:rPr/>
              <w:t>Ralph Komai</w:t>
            </w:r>
          </w:p>
        </w:tc>
      </w:tr>
      <w:tr>
        <w:trPr>
          <w:trHeight w:val="400" w:hRule="exact"/>
        </w:trPr>
        <w:tc>
          <w:tcPr>
            <w:tcW w:w="756" w:type="dxa"/>
            <w:tcBorders/>
          </w:tcPr>
          <w:p>
            <w:pPr>
              <w:pStyle w:val="Normal"/>
              <w:spacing w:before="140" w:after="60"/>
              <w:rPr>
                <w:rFonts w:ascii="Interstate-Light" w:hAnsi="Interstate-Light" w:eastAsia="Interstate-Light" w:cs="Interstate-Light"/>
                <w:b/>
                <w:bCs/>
                <w:sz w:val="16"/>
                <w:szCs w:val="16"/>
              </w:rPr>
            </w:pPr>
            <w:r>
              <w:rPr>
                <w:rFonts w:eastAsia="Interstate-Light" w:cs="Interstate-Light" w:ascii="Interstate-Light" w:hAnsi="Interstate-Light"/>
                <w:b/>
                <w:bCs/>
                <w:sz w:val="16"/>
                <w:szCs w:val="16"/>
              </w:rPr>
              <w:t>Date:</w:t>
            </w:r>
          </w:p>
        </w:tc>
        <w:tc>
          <w:tcPr>
            <w:tcW w:w="8730" w:type="dxa"/>
            <w:tcBorders/>
          </w:tcPr>
          <w:p>
            <w:pPr>
              <w:pStyle w:val="Normal"/>
              <w:spacing w:before="60" w:after="60"/>
              <w:rPr/>
            </w:pPr>
            <w:r>
              <w:rPr/>
              <w:t>March 12, 2001</w:t>
            </w:r>
          </w:p>
        </w:tc>
      </w:tr>
    </w:tbl>
    <w:p>
      <w:pPr>
        <w:sectPr>
          <w:type w:val="continuous"/>
          <w:pgSz w:w="12240" w:h="15840"/>
          <w:pgMar w:left="1440" w:right="1440" w:gutter="0" w:header="0" w:top="360" w:footer="0" w:bottom="1440"/>
          <w:formProt w:val="false"/>
          <w:titlePg/>
          <w:textDirection w:val="lrTb"/>
        </w:sectPr>
      </w:pPr>
    </w:p>
    <w:p>
      <w:pPr>
        <w:pStyle w:val="Normal"/>
        <w:spacing w:before="60" w:after="0"/>
        <w:rPr>
          <w:b/>
          <w:bCs/>
          <w:sz w:val="18"/>
          <w:szCs w:val="18"/>
        </w:rPr>
      </w:pPr>
      <w:r>
        <w:rPr>
          <w:b/>
          <w:bCs/>
          <w:sz w:val="18"/>
          <w:szCs w:val="18"/>
        </w:rPr>
      </w:r>
    </w:p>
    <w:p>
      <w:pPr>
        <w:pStyle w:val="Normal"/>
        <w:spacing w:lineRule="exact" w:line="280" w:before="60" w:after="0"/>
        <w:rPr>
          <w:b/>
          <w:bCs/>
        </w:rPr>
      </w:pPr>
      <w:r>
        <w:rPr>
          <w:b/>
          <w:bCs/>
        </w:rPr>
        <w:t>SUBJECT:</w:t>
        <w:tab/>
        <w:t>Southwest Gas PCB Discussion Meeting</w:t>
      </w:r>
    </w:p>
    <w:p>
      <w:pPr>
        <w:pStyle w:val="Normal"/>
        <w:spacing w:before="60" w:after="0"/>
        <w:rPr>
          <w:b/>
          <w:bCs/>
          <w:sz w:val="18"/>
          <w:szCs w:val="18"/>
        </w:rPr>
      </w:pPr>
      <w:r>
        <w:rPr>
          <w:b/>
          <w:bCs/>
          <w:sz w:val="18"/>
          <w:szCs w:val="18"/>
        </w:rPr>
      </w:r>
    </w:p>
    <w:p>
      <w:pPr>
        <w:sectPr>
          <w:type w:val="continuous"/>
          <w:pgSz w:w="12240" w:h="15840"/>
          <w:pgMar w:left="1440" w:right="1440" w:gutter="0" w:header="0" w:top="360" w:footer="0" w:bottom="1440"/>
          <w:formProt w:val="false"/>
          <w:titlePg/>
          <w:textDirection w:val="lrTb"/>
        </w:sectPr>
      </w:pPr>
    </w:p>
    <w:p>
      <w:pPr>
        <w:pStyle w:val="Normal"/>
        <w:tabs>
          <w:tab w:val="clear" w:pos="720"/>
          <w:tab w:val="left" w:pos="2808" w:leader="none"/>
        </w:tabs>
        <w:rPr>
          <w:b/>
          <w:bCs/>
          <w:sz w:val="18"/>
          <w:szCs w:val="18"/>
        </w:rPr>
      </w:pPr>
      <w:r>
        <w:rPr>
          <w:b/>
          <w:bCs/>
          <w:sz w:val="18"/>
          <w:szCs w:val="18"/>
        </w:rPr>
      </w:r>
    </w:p>
    <w:p>
      <w:pPr>
        <w:pStyle w:val="VisibleText"/>
        <w:spacing w:lineRule="auto" w:line="240"/>
        <w:rPr>
          <w:sz w:val="20"/>
          <w:szCs w:val="20"/>
        </w:rPr>
      </w:pPr>
      <w:r>
        <w:rPr>
          <w:sz w:val="20"/>
          <w:szCs w:val="20"/>
        </w:rPr>
        <w:t>The purpose of this memo is to summarize discussions with Southwest Gas (SWG) at their Victorville office on February 27, 2001, regarding discovery of polychlorinated biphenyls (PCBs) within its Victorville/Hesperia distribution system.</w:t>
      </w:r>
    </w:p>
    <w:p>
      <w:pPr>
        <w:pStyle w:val="VisibleText"/>
        <w:rPr>
          <w:sz w:val="20"/>
          <w:szCs w:val="20"/>
        </w:rPr>
      </w:pPr>
      <w:r>
        <w:rPr>
          <w:sz w:val="20"/>
          <w:szCs w:val="20"/>
        </w:rPr>
      </w:r>
    </w:p>
    <w:tbl>
      <w:tblPr>
        <w:tblW w:w="9918" w:type="dxa"/>
        <w:jc w:val="start"/>
        <w:tblInd w:w="0" w:type="dxa"/>
        <w:tblLayout w:type="fixed"/>
        <w:tblCellMar>
          <w:top w:w="0" w:type="dxa"/>
          <w:start w:w="108" w:type="dxa"/>
          <w:bottom w:w="0" w:type="dxa"/>
          <w:end w:w="108" w:type="dxa"/>
        </w:tblCellMar>
      </w:tblPr>
      <w:tblGrid>
        <w:gridCol w:w="4608"/>
        <w:gridCol w:w="5310"/>
      </w:tblGrid>
      <w:tr>
        <w:trPr/>
        <w:tc>
          <w:tcPr>
            <w:tcW w:w="9918" w:type="dxa"/>
            <w:gridSpan w:val="2"/>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Attendees</w:t>
            </w:r>
          </w:p>
        </w:tc>
      </w:tr>
      <w:tr>
        <w:trPr/>
        <w:tc>
          <w:tcPr>
            <w:tcW w:w="4608" w:type="dxa"/>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Bob Cordova, Transmission</w:t>
            </w:r>
          </w:p>
        </w:tc>
        <w:tc>
          <w:tcPr>
            <w:tcW w:w="5310" w:type="dxa"/>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Steve Frankovich, Engineering Manager (only briefly)</w:t>
            </w:r>
          </w:p>
        </w:tc>
      </w:tr>
      <w:tr>
        <w:trPr/>
        <w:tc>
          <w:tcPr>
            <w:tcW w:w="4608" w:type="dxa"/>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Bill Jollie, Distribution, Inland Empire Region</w:t>
            </w:r>
          </w:p>
        </w:tc>
        <w:tc>
          <w:tcPr>
            <w:tcW w:w="5310" w:type="dxa"/>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John Jacobs, Superintendent/Warehouse, Safety, Facilities</w:t>
            </w:r>
          </w:p>
        </w:tc>
      </w:tr>
      <w:tr>
        <w:trPr/>
        <w:tc>
          <w:tcPr>
            <w:tcW w:w="4608" w:type="dxa"/>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Ralph Komai, Sempra Energy Environmental Services</w:t>
            </w:r>
          </w:p>
        </w:tc>
        <w:tc>
          <w:tcPr>
            <w:tcW w:w="5310" w:type="dxa"/>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Roy Meyers, Superintendent/Construction</w:t>
            </w:r>
          </w:p>
        </w:tc>
      </w:tr>
      <w:tr>
        <w:trPr/>
        <w:tc>
          <w:tcPr>
            <w:tcW w:w="4608" w:type="dxa"/>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Shahid Razzak, Engineering Analysis Center</w:t>
            </w:r>
          </w:p>
        </w:tc>
        <w:tc>
          <w:tcPr>
            <w:tcW w:w="5310" w:type="dxa"/>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Bill Schrand, Specialist/Environmental Compliance (Las Vegas</w:t>
            </w:r>
          </w:p>
        </w:tc>
      </w:tr>
      <w:tr>
        <w:trPr/>
        <w:tc>
          <w:tcPr>
            <w:tcW w:w="4608" w:type="dxa"/>
            <w:tcBorders>
              <w:top w:val="single" w:sz="6" w:space="0" w:color="000000"/>
              <w:start w:val="single" w:sz="6" w:space="0" w:color="000000"/>
              <w:bottom w:val="single" w:sz="6" w:space="0" w:color="000000"/>
              <w:end w:val="single" w:sz="6" w:space="0" w:color="000000"/>
            </w:tcBorders>
          </w:tcPr>
          <w:p>
            <w:pPr>
              <w:pStyle w:val="VisibleText"/>
              <w:snapToGrid w:val="false"/>
              <w:rPr>
                <w:sz w:val="20"/>
                <w:szCs w:val="20"/>
              </w:rPr>
            </w:pPr>
            <w:r>
              <w:rPr>
                <w:sz w:val="20"/>
                <w:szCs w:val="20"/>
              </w:rPr>
            </w:r>
          </w:p>
        </w:tc>
        <w:tc>
          <w:tcPr>
            <w:tcW w:w="5310" w:type="dxa"/>
            <w:tcBorders>
              <w:top w:val="single" w:sz="6" w:space="0" w:color="000000"/>
              <w:start w:val="single" w:sz="6" w:space="0" w:color="000000"/>
              <w:bottom w:val="single" w:sz="6" w:space="0" w:color="000000"/>
              <w:end w:val="single" w:sz="6" w:space="0" w:color="000000"/>
            </w:tcBorders>
          </w:tcPr>
          <w:p>
            <w:pPr>
              <w:pStyle w:val="VisibleText"/>
              <w:rPr>
                <w:sz w:val="20"/>
                <w:szCs w:val="20"/>
              </w:rPr>
            </w:pPr>
            <w:r>
              <w:rPr>
                <w:sz w:val="20"/>
                <w:szCs w:val="20"/>
              </w:rPr>
              <w:t>Keith Schuster, Senior Manager/Gas Operations</w:t>
            </w:r>
          </w:p>
        </w:tc>
      </w:tr>
    </w:tbl>
    <w:p>
      <w:pPr>
        <w:pStyle w:val="VisibleText"/>
        <w:rPr>
          <w:sz w:val="20"/>
          <w:szCs w:val="20"/>
        </w:rPr>
      </w:pPr>
      <w:r>
        <w:rPr>
          <w:sz w:val="20"/>
          <w:szCs w:val="20"/>
        </w:rPr>
      </w:r>
    </w:p>
    <w:p>
      <w:pPr>
        <w:pStyle w:val="VisibleText"/>
        <w:rPr>
          <w:sz w:val="20"/>
          <w:szCs w:val="20"/>
          <w:u w:val="single"/>
        </w:rPr>
      </w:pPr>
      <w:r>
        <w:rPr>
          <w:sz w:val="20"/>
          <w:szCs w:val="20"/>
          <w:u w:val="single"/>
        </w:rPr>
        <w:t>Background</w:t>
      </w:r>
    </w:p>
    <w:p>
      <w:pPr>
        <w:pStyle w:val="VisibleText"/>
        <w:rPr>
          <w:sz w:val="20"/>
          <w:szCs w:val="20"/>
          <w:u w:val="single"/>
        </w:rPr>
      </w:pPr>
      <w:r>
        <w:rPr>
          <w:sz w:val="20"/>
          <w:szCs w:val="20"/>
          <w:u w:val="single"/>
        </w:rPr>
      </w:r>
    </w:p>
    <w:p>
      <w:pPr>
        <w:pStyle w:val="VisibleText"/>
        <w:rPr>
          <w:sz w:val="20"/>
          <w:szCs w:val="20"/>
        </w:rPr>
      </w:pPr>
      <w:r>
        <w:rPr>
          <w:sz w:val="20"/>
          <w:szCs w:val="20"/>
        </w:rPr>
        <w:t xml:space="preserve">The SWG Victorville District is fed by The Gas Company’s line 4000 from the south at two taps, Las Flores and Round-up Way.  PG&amp;E gas feeds the SWG system from the north from lines 300a and 300b.  My impression is that most of the system (in terms of geographical area) is fed by PG&amp;E.  The pressures balance out or “null” at some set of locations in between the PG&amp;E and Gas Company taps.  </w:t>
      </w:r>
    </w:p>
    <w:p>
      <w:pPr>
        <w:pStyle w:val="VisibleText"/>
        <w:rPr>
          <w:sz w:val="20"/>
          <w:szCs w:val="20"/>
        </w:rPr>
      </w:pPr>
      <w:r>
        <w:rPr>
          <w:sz w:val="20"/>
          <w:szCs w:val="20"/>
        </w:rPr>
      </w:r>
    </w:p>
    <w:p>
      <w:pPr>
        <w:pStyle w:val="VisibleText"/>
        <w:rPr>
          <w:sz w:val="20"/>
          <w:szCs w:val="20"/>
        </w:rPr>
      </w:pPr>
      <w:r>
        <w:rPr>
          <w:sz w:val="20"/>
          <w:szCs w:val="20"/>
        </w:rPr>
        <w:t>SWG discovered the presence of PCBs when liquid encountered in a pilot regulator on October 6, 2000 was found to contain about 230 ppm PCBs.  A second liquid sample, found in a nearby regulator later that month, contained about 113 ppm PCBs.  These PCBs are Aroclor 1242,</w:t>
      </w:r>
      <w:r>
        <w:rPr>
          <w:rStyle w:val="FootnoteCharacters"/>
          <w:rStyle w:val="FootnoteReference"/>
          <w:sz w:val="20"/>
          <w:szCs w:val="20"/>
        </w:rPr>
        <w:footnoteReference w:id="2"/>
      </w:r>
      <w:r>
        <w:rPr>
          <w:sz w:val="20"/>
          <w:szCs w:val="20"/>
        </w:rPr>
        <w:t xml:space="preserve"> which is consistent with PCBs found in The Gas Company and Transwestern Pipeline Company lines.  SWG tested for PCBs because of a PCB incident at the beginning of 2000, where PG&amp;E identified PCBs in the lines that delivered gas to SWG at Topock (near Needles).</w:t>
      </w:r>
      <w:r>
        <w:rPr>
          <w:rStyle w:val="FootnoteCharacters"/>
          <w:rStyle w:val="FootnoteReference"/>
          <w:sz w:val="20"/>
          <w:szCs w:val="20"/>
        </w:rPr>
        <w:footnoteReference w:id="3"/>
      </w:r>
    </w:p>
    <w:p>
      <w:pPr>
        <w:pStyle w:val="VisibleText"/>
        <w:rPr>
          <w:sz w:val="20"/>
          <w:szCs w:val="20"/>
        </w:rPr>
      </w:pPr>
      <w:r>
        <w:rPr>
          <w:sz w:val="20"/>
          <w:szCs w:val="20"/>
        </w:rPr>
      </w:r>
    </w:p>
    <w:p>
      <w:pPr>
        <w:pStyle w:val="VisibleText"/>
        <w:rPr/>
      </w:pPr>
      <w:r>
        <w:rPr>
          <w:sz w:val="20"/>
          <w:szCs w:val="20"/>
        </w:rPr>
        <w:t>This October PCB finding in the Victorville/Hesperia area triggered the planning and execution of a widespread sampling program to assess the extent of PCB contamination.  Samples were taken at practically all of the regulator stations in the vicinity of Victorville/Hesperia.  More than 100 samples were taken.  No additional liquid samples were found, but PCB wipe samples were collected.</w:t>
      </w:r>
      <w:r>
        <w:rPr>
          <w:rStyle w:val="FootnoteCharacters"/>
          <w:rStyle w:val="FootnoteReference"/>
          <w:sz w:val="20"/>
          <w:szCs w:val="20"/>
        </w:rPr>
        <w:footnoteReference w:id="4"/>
      </w:r>
      <w:r>
        <w:rPr>
          <w:sz w:val="20"/>
          <w:szCs w:val="20"/>
        </w:rPr>
        <w:t xml:space="preserve">  SWG sent these samples to Sherwood Labs,</w:t>
      </w:r>
      <w:r>
        <w:rPr>
          <w:rStyle w:val="FootnoteCharacters"/>
          <w:rStyle w:val="FootnoteReference"/>
          <w:sz w:val="20"/>
          <w:szCs w:val="20"/>
        </w:rPr>
        <w:footnoteReference w:id="5"/>
      </w:r>
      <w:r>
        <w:rPr>
          <w:sz w:val="20"/>
          <w:szCs w:val="20"/>
        </w:rPr>
        <w:t xml:space="preserve"> a commercial laboratory in northern California that is used by PG&amp;E.  Wipe sample results demonstrated the presence of low level PCBs over a large area of the Victorville District.</w:t>
      </w:r>
    </w:p>
    <w:p>
      <w:pPr>
        <w:pStyle w:val="VisibleText"/>
        <w:rPr>
          <w:sz w:val="20"/>
          <w:szCs w:val="20"/>
        </w:rPr>
      </w:pPr>
      <w:r>
        <w:rPr>
          <w:sz w:val="20"/>
          <w:szCs w:val="20"/>
        </w:rPr>
      </w:r>
    </w:p>
    <w:p>
      <w:pPr>
        <w:pStyle w:val="VisibleText"/>
        <w:rPr>
          <w:sz w:val="20"/>
          <w:szCs w:val="20"/>
        </w:rPr>
      </w:pPr>
      <w:r>
        <w:rPr>
          <w:sz w:val="20"/>
          <w:szCs w:val="20"/>
        </w:rPr>
        <w:t>Concern for customer systems caused SWG to collect additional wipe samples at some industrial customer meters.  No PCBs were found.  Some wipe samples were also taken at residential meters, with similar results.</w:t>
      </w:r>
    </w:p>
    <w:p>
      <w:pPr>
        <w:pStyle w:val="VisibleText"/>
        <w:rPr>
          <w:sz w:val="20"/>
          <w:szCs w:val="20"/>
        </w:rPr>
      </w:pPr>
      <w:r>
        <w:rPr>
          <w:sz w:val="20"/>
          <w:szCs w:val="20"/>
        </w:rPr>
      </w:r>
    </w:p>
    <w:p>
      <w:pPr>
        <w:pStyle w:val="VisibleText"/>
        <w:rPr>
          <w:sz w:val="20"/>
          <w:szCs w:val="20"/>
          <w:u w:val="single"/>
        </w:rPr>
      </w:pPr>
      <w:r>
        <w:rPr>
          <w:sz w:val="20"/>
          <w:szCs w:val="20"/>
          <w:u w:val="single"/>
        </w:rPr>
        <w:t>Planned Engineering Practices</w:t>
      </w:r>
    </w:p>
    <w:p>
      <w:pPr>
        <w:pStyle w:val="VisibleText"/>
        <w:rPr>
          <w:sz w:val="20"/>
          <w:szCs w:val="20"/>
          <w:u w:val="single"/>
        </w:rPr>
      </w:pPr>
      <w:r>
        <w:rPr>
          <w:sz w:val="20"/>
          <w:szCs w:val="20"/>
          <w:u w:val="single"/>
        </w:rPr>
      </w:r>
    </w:p>
    <w:p>
      <w:pPr>
        <w:pStyle w:val="VisibleText"/>
        <w:rPr>
          <w:sz w:val="20"/>
          <w:szCs w:val="20"/>
        </w:rPr>
      </w:pPr>
      <w:r>
        <w:rPr>
          <w:sz w:val="20"/>
          <w:szCs w:val="20"/>
        </w:rPr>
        <w:t xml:space="preserve">There was a recognition and an emphasis to the SWG representatives by both Schrand and Komai that the SWG system contamination is very different from The Gas Company situation.  Because the levels of PCB encountered are much lower than found within The Gas Company system, SWG can manage its PCB program without the costly PCB-testing program.  </w:t>
      </w:r>
    </w:p>
    <w:p>
      <w:pPr>
        <w:pStyle w:val="VisibleText"/>
        <w:rPr>
          <w:sz w:val="20"/>
          <w:szCs w:val="20"/>
        </w:rPr>
      </w:pPr>
      <w:r>
        <w:rPr>
          <w:sz w:val="20"/>
          <w:szCs w:val="20"/>
        </w:rPr>
      </w:r>
    </w:p>
    <w:p>
      <w:pPr>
        <w:pStyle w:val="VisibleText"/>
        <w:rPr>
          <w:sz w:val="20"/>
          <w:szCs w:val="20"/>
        </w:rPr>
      </w:pPr>
      <w:r>
        <w:rPr>
          <w:sz w:val="20"/>
          <w:szCs w:val="20"/>
        </w:rPr>
        <w:t>The following is a summary of the SWG PCB management Plan.</w:t>
      </w:r>
    </w:p>
    <w:p>
      <w:pPr>
        <w:pStyle w:val="VisibleText"/>
        <w:numPr>
          <w:ilvl w:val="0"/>
          <w:numId w:val="2"/>
        </w:numPr>
        <w:tabs>
          <w:tab w:val="clear" w:pos="720"/>
          <w:tab w:val="left" w:pos="0" w:leader="none"/>
        </w:tabs>
        <w:ind w:hanging="720" w:start="720" w:end="0"/>
        <w:rPr>
          <w:sz w:val="20"/>
          <w:szCs w:val="20"/>
        </w:rPr>
      </w:pPr>
      <w:r>
        <w:rPr>
          <w:sz w:val="20"/>
          <w:szCs w:val="20"/>
        </w:rPr>
        <w:t xml:space="preserve">SWG will test liquids encountered from the Victorville District.  SWG will continue to check for PCBs at the locations where PCB liquids were previously found.  Once weather allows, SWG plans to check for liquids at a low point between the two regulators where liquids were collected. </w:t>
      </w:r>
    </w:p>
    <w:p>
      <w:pPr>
        <w:pStyle w:val="VisibleText"/>
        <w:numPr>
          <w:ilvl w:val="0"/>
          <w:numId w:val="2"/>
        </w:numPr>
        <w:tabs>
          <w:tab w:val="clear" w:pos="720"/>
          <w:tab w:val="left" w:pos="0" w:leader="none"/>
        </w:tabs>
        <w:ind w:hanging="720" w:start="720" w:end="0"/>
        <w:rPr>
          <w:sz w:val="20"/>
          <w:szCs w:val="20"/>
        </w:rPr>
      </w:pPr>
      <w:r>
        <w:rPr>
          <w:sz w:val="20"/>
          <w:szCs w:val="20"/>
        </w:rPr>
        <w:t>SWG plans to have liquid phase filters installed at Round-up Way and Las Flores taps to prevent further PCB contamination.  (Schrand said that SWG would prepare a proposal that would be sent to The Gas Company.)</w:t>
      </w:r>
    </w:p>
    <w:p>
      <w:pPr>
        <w:pStyle w:val="VisibleText"/>
        <w:numPr>
          <w:ilvl w:val="0"/>
          <w:numId w:val="2"/>
        </w:numPr>
        <w:tabs>
          <w:tab w:val="clear" w:pos="720"/>
          <w:tab w:val="left" w:pos="0" w:leader="none"/>
        </w:tabs>
        <w:ind w:hanging="720" w:start="720" w:end="0"/>
        <w:rPr/>
      </w:pPr>
      <w:r>
        <w:rPr>
          <w:sz w:val="20"/>
          <w:szCs w:val="20"/>
        </w:rPr>
        <w:t>SWG has concluded that it has no “sources”</w:t>
      </w:r>
      <w:r>
        <w:rPr>
          <w:rStyle w:val="FootnoteCharacters"/>
          <w:rStyle w:val="FootnoteReference"/>
          <w:sz w:val="20"/>
          <w:szCs w:val="20"/>
        </w:rPr>
        <w:footnoteReference w:id="6"/>
      </w:r>
      <w:r>
        <w:rPr>
          <w:sz w:val="20"/>
          <w:szCs w:val="20"/>
        </w:rPr>
        <w:t xml:space="preserve"> within its system.  (I concur.)</w:t>
      </w:r>
    </w:p>
    <w:p>
      <w:pPr>
        <w:pStyle w:val="VisibleText"/>
        <w:numPr>
          <w:ilvl w:val="0"/>
          <w:numId w:val="2"/>
        </w:numPr>
        <w:tabs>
          <w:tab w:val="clear" w:pos="720"/>
          <w:tab w:val="left" w:pos="0" w:leader="none"/>
        </w:tabs>
        <w:ind w:hanging="720" w:start="720" w:end="0"/>
        <w:rPr/>
      </w:pPr>
      <w:r>
        <w:rPr>
          <w:sz w:val="20"/>
          <w:szCs w:val="20"/>
        </w:rPr>
        <w:t>SWG will consider all pipe being abandoned within this geographical portion of its system to be contaminated between 50 and 500 ppm (EPA’s definition of PCB-contaminated).</w:t>
      </w:r>
      <w:r>
        <w:rPr>
          <w:rStyle w:val="FootnoteCharacters"/>
          <w:rStyle w:val="FootnoteReference"/>
          <w:sz w:val="20"/>
          <w:szCs w:val="20"/>
        </w:rPr>
        <w:footnoteReference w:id="7"/>
      </w:r>
      <w:r>
        <w:rPr>
          <w:sz w:val="20"/>
          <w:szCs w:val="20"/>
        </w:rPr>
        <w:t xml:space="preserve">  The rationale is that no sample within the SWG system reached or exceeded 500 ppm (EPA’s regulatory threshold for PCB).  This SWG presumption will be used, unless and until testing is performed that demonstrates higher levels.  Free-flowing liquids will be collected, and pipe openings will be sealed.  Pipe may be reused in place.</w:t>
      </w:r>
    </w:p>
    <w:p>
      <w:pPr>
        <w:pStyle w:val="VisibleText"/>
        <w:numPr>
          <w:ilvl w:val="0"/>
          <w:numId w:val="2"/>
        </w:numPr>
        <w:tabs>
          <w:tab w:val="clear" w:pos="720"/>
          <w:tab w:val="left" w:pos="0" w:leader="none"/>
        </w:tabs>
        <w:ind w:hanging="720" w:start="720" w:end="0"/>
        <w:rPr>
          <w:sz w:val="20"/>
          <w:szCs w:val="20"/>
        </w:rPr>
      </w:pPr>
      <w:r>
        <w:rPr>
          <w:sz w:val="20"/>
          <w:szCs w:val="20"/>
        </w:rPr>
        <w:t>State of California regulations treat PCBs as a hazardous waste when present at 5 ppm or greater in fluids or soil.  California does not have an equivalent surface sampling method to the federal wipe sample.  Therefore, there is essentially no surface contamination regulation by the State.  SWG will properly manage and dispose of PCB wastes.</w:t>
      </w:r>
    </w:p>
    <w:p>
      <w:pPr>
        <w:pStyle w:val="VisibleText"/>
        <w:numPr>
          <w:ilvl w:val="0"/>
          <w:numId w:val="2"/>
        </w:numPr>
        <w:tabs>
          <w:tab w:val="clear" w:pos="720"/>
          <w:tab w:val="left" w:pos="0" w:leader="none"/>
        </w:tabs>
        <w:ind w:hanging="720" w:start="720" w:end="0"/>
        <w:rPr>
          <w:sz w:val="20"/>
          <w:szCs w:val="20"/>
        </w:rPr>
      </w:pPr>
      <w:r>
        <w:rPr>
          <w:sz w:val="20"/>
          <w:szCs w:val="20"/>
        </w:rPr>
        <w:t>Reuse of pipe and appurtenances is allowed for levels of PCB less than 500 ppm, which the system is considered to be, when free-flowing liquids are removed.  PCB contaminated pipe won’t be sold to a third party.  Certain uses by SWG are allowed and specified in the regulations.</w:t>
      </w:r>
    </w:p>
    <w:p>
      <w:pPr>
        <w:pStyle w:val="VisibleText"/>
        <w:numPr>
          <w:ilvl w:val="0"/>
          <w:numId w:val="0"/>
        </w:numPr>
        <w:ind w:hanging="0" w:start="0"/>
        <w:rPr>
          <w:sz w:val="20"/>
          <w:szCs w:val="20"/>
        </w:rPr>
      </w:pPr>
      <w:r>
        <w:rPr>
          <w:sz w:val="20"/>
          <w:szCs w:val="20"/>
        </w:rPr>
      </w:r>
    </w:p>
    <w:p>
      <w:pPr>
        <w:pStyle w:val="VisibleText"/>
        <w:numPr>
          <w:ilvl w:val="0"/>
          <w:numId w:val="0"/>
        </w:numPr>
        <w:ind w:hanging="0" w:start="0"/>
        <w:rPr>
          <w:sz w:val="20"/>
          <w:szCs w:val="20"/>
          <w:u w:val="single"/>
        </w:rPr>
      </w:pPr>
      <w:r>
        <w:rPr>
          <w:sz w:val="20"/>
          <w:szCs w:val="20"/>
          <w:u w:val="single"/>
        </w:rPr>
        <w:t>The Gas Company PCB Management Program</w:t>
      </w:r>
    </w:p>
    <w:p>
      <w:pPr>
        <w:pStyle w:val="VisibleText"/>
        <w:numPr>
          <w:ilvl w:val="0"/>
          <w:numId w:val="0"/>
        </w:numPr>
        <w:ind w:hanging="0" w:start="0"/>
        <w:rPr>
          <w:sz w:val="20"/>
          <w:szCs w:val="20"/>
          <w:u w:val="single"/>
        </w:rPr>
      </w:pPr>
      <w:r>
        <w:rPr>
          <w:sz w:val="20"/>
          <w:szCs w:val="20"/>
          <w:u w:val="single"/>
        </w:rPr>
      </w:r>
    </w:p>
    <w:p>
      <w:pPr>
        <w:pStyle w:val="VisibleText"/>
        <w:numPr>
          <w:ilvl w:val="0"/>
          <w:numId w:val="0"/>
        </w:numPr>
        <w:ind w:hanging="0" w:start="0"/>
        <w:rPr>
          <w:sz w:val="20"/>
          <w:szCs w:val="20"/>
        </w:rPr>
      </w:pPr>
      <w:r>
        <w:rPr>
          <w:sz w:val="20"/>
          <w:szCs w:val="20"/>
        </w:rPr>
        <w:t>Sempra Energy/Gas Company representatives (Komai/Jollie) discussed The Gas Company PCB management procedures.  Recent PCB data from the desert transmission stations (year 2000) were shared by Komai and Razzak.  Komai explained that the current best understanding of high concentrations found throughout the desert is that slugs of high concentration liquids have been mobilized from liquids pooled at low points.  This is occurring because of the increased volume of gas flowing through the Gas Company pipelines in response to greater demand for gas since 1998.</w:t>
      </w:r>
    </w:p>
    <w:p>
      <w:pPr>
        <w:pStyle w:val="VisibleText"/>
        <w:numPr>
          <w:ilvl w:val="0"/>
          <w:numId w:val="0"/>
        </w:numPr>
        <w:ind w:hanging="0" w:start="0"/>
        <w:rPr>
          <w:sz w:val="20"/>
          <w:szCs w:val="20"/>
        </w:rPr>
      </w:pPr>
      <w:r>
        <w:rPr>
          <w:sz w:val="20"/>
          <w:szCs w:val="20"/>
        </w:rPr>
      </w:r>
    </w:p>
    <w:p>
      <w:pPr>
        <w:pStyle w:val="VisibleText"/>
        <w:numPr>
          <w:ilvl w:val="0"/>
          <w:numId w:val="0"/>
        </w:numPr>
        <w:ind w:hanging="0" w:start="0"/>
        <w:rPr>
          <w:sz w:val="20"/>
          <w:szCs w:val="20"/>
        </w:rPr>
      </w:pPr>
      <w:r>
        <w:rPr>
          <w:sz w:val="20"/>
          <w:szCs w:val="20"/>
        </w:rPr>
        <w:t xml:space="preserve">SWG was given a copy of the PCB Roving Training Module 2000 for its own reference and use.  In addition, a set of overheads used for PCB Megarule Pipeline Abandonment training was provided.  A copy of FCD 104.0042, PCB Guidance for Pipeline Abandonment, was also shared.  Polyurethane grouting, as required by the PCB regulations, was discussed, with the clarification that The Gas Company grouted to avoid taking sample and analyzing for PCBs.  The Gas Company system is presumed to have levels greater than 500 ppm, but testing to prove lower levels would be more costly than grouting.  </w:t>
      </w:r>
    </w:p>
    <w:p>
      <w:pPr>
        <w:pStyle w:val="VisibleText"/>
        <w:numPr>
          <w:ilvl w:val="0"/>
          <w:numId w:val="0"/>
        </w:numPr>
        <w:ind w:hanging="0" w:start="0"/>
        <w:rPr>
          <w:sz w:val="20"/>
          <w:szCs w:val="20"/>
        </w:rPr>
      </w:pPr>
      <w:r>
        <w:rPr>
          <w:sz w:val="20"/>
          <w:szCs w:val="20"/>
        </w:rPr>
      </w:r>
    </w:p>
    <w:p>
      <w:pPr>
        <w:pStyle w:val="VisibleText"/>
        <w:numPr>
          <w:ilvl w:val="0"/>
          <w:numId w:val="0"/>
        </w:numPr>
        <w:ind w:hanging="0" w:start="0"/>
        <w:rPr>
          <w:sz w:val="20"/>
          <w:szCs w:val="20"/>
        </w:rPr>
      </w:pPr>
      <w:r>
        <w:rPr>
          <w:sz w:val="20"/>
          <w:szCs w:val="20"/>
        </w:rPr>
        <w:t>SWG inquired about the potential addition of a tap east of Round-up Way.  Cordova responded that they should discuss this with Gwen Marelli.  If this additional tap is added, SWG will want an additional filter.</w:t>
      </w:r>
    </w:p>
    <w:p>
      <w:pPr>
        <w:pStyle w:val="VisibleText"/>
        <w:numPr>
          <w:ilvl w:val="0"/>
          <w:numId w:val="0"/>
        </w:numPr>
        <w:ind w:hanging="0" w:start="0"/>
        <w:rPr>
          <w:sz w:val="20"/>
          <w:szCs w:val="20"/>
        </w:rPr>
      </w:pPr>
      <w:r>
        <w:rPr>
          <w:sz w:val="20"/>
          <w:szCs w:val="20"/>
        </w:rPr>
      </w:r>
    </w:p>
    <w:p>
      <w:pPr>
        <w:pStyle w:val="VisibleText"/>
        <w:numPr>
          <w:ilvl w:val="0"/>
          <w:numId w:val="0"/>
        </w:numPr>
        <w:ind w:hanging="0" w:start="0"/>
        <w:rPr>
          <w:sz w:val="20"/>
          <w:szCs w:val="20"/>
        </w:rPr>
      </w:pPr>
      <w:r>
        <w:rPr>
          <w:sz w:val="20"/>
          <w:szCs w:val="20"/>
        </w:rPr>
        <w:t xml:space="preserve">Razzak discussed The Gas Company wipe-sampling program.  He described the kits that the Engineering Analysis Center (EAC) had prepared and the training of more than 500 employees to collect wipe samples.  Cost of analysis was also discussed, with the Sherwood Labs costs being found to be extremely low ($10-$15) compared to commercial laboratories in the Los Angeles area ($60-$100).  The resolution on the Sherwood chromatograms was much lower than the EAC is used to seeing.  The baseline of one chromatogram was high and declining.  The inference was that the sample was not sufficiently cleaned.  Razzak offered to provide two samples to John Jacobs that he had previously analyzed for PCBs.  SWG will split samples to be provided between Sherwood and another commercial laboratory to test Sherwood’s accuracy.  </w:t>
      </w:r>
    </w:p>
    <w:p>
      <w:pPr>
        <w:pStyle w:val="VisibleText"/>
        <w:numPr>
          <w:ilvl w:val="0"/>
          <w:numId w:val="0"/>
        </w:numPr>
        <w:ind w:hanging="0" w:start="0"/>
        <w:rPr>
          <w:sz w:val="20"/>
          <w:szCs w:val="20"/>
        </w:rPr>
      </w:pPr>
      <w:r>
        <w:rPr>
          <w:sz w:val="20"/>
          <w:szCs w:val="20"/>
        </w:rPr>
      </w:r>
    </w:p>
    <w:p>
      <w:pPr>
        <w:pStyle w:val="VisibleText"/>
        <w:numPr>
          <w:ilvl w:val="0"/>
          <w:numId w:val="0"/>
        </w:numPr>
        <w:ind w:hanging="0" w:start="0"/>
        <w:rPr>
          <w:sz w:val="20"/>
          <w:szCs w:val="20"/>
          <w:u w:val="single"/>
        </w:rPr>
      </w:pPr>
      <w:r>
        <w:rPr>
          <w:sz w:val="20"/>
          <w:szCs w:val="20"/>
          <w:u w:val="single"/>
        </w:rPr>
        <w:t>Action Items</w:t>
      </w:r>
    </w:p>
    <w:p>
      <w:pPr>
        <w:pStyle w:val="VisibleText"/>
        <w:numPr>
          <w:ilvl w:val="0"/>
          <w:numId w:val="0"/>
        </w:numPr>
        <w:ind w:hanging="0" w:start="0"/>
        <w:rPr>
          <w:sz w:val="20"/>
          <w:szCs w:val="20"/>
          <w:u w:val="single"/>
        </w:rPr>
      </w:pPr>
      <w:r>
        <w:rPr>
          <w:sz w:val="20"/>
          <w:szCs w:val="20"/>
          <w:u w:val="single"/>
        </w:rPr>
      </w:r>
    </w:p>
    <w:p>
      <w:pPr>
        <w:pStyle w:val="VisibleText"/>
        <w:numPr>
          <w:ilvl w:val="0"/>
          <w:numId w:val="2"/>
        </w:numPr>
        <w:tabs>
          <w:tab w:val="clear" w:pos="720"/>
          <w:tab w:val="left" w:pos="0" w:leader="none"/>
        </w:tabs>
        <w:ind w:hanging="720" w:start="720" w:end="0"/>
        <w:rPr>
          <w:sz w:val="20"/>
          <w:szCs w:val="20"/>
        </w:rPr>
      </w:pPr>
      <w:r>
        <w:rPr>
          <w:sz w:val="20"/>
          <w:szCs w:val="20"/>
        </w:rPr>
        <w:t>Bill Schrand will provide a proposal for filters to be installed at Round-up Way and Las Flores.</w:t>
      </w:r>
    </w:p>
    <w:p>
      <w:pPr>
        <w:pStyle w:val="VisibleText"/>
        <w:numPr>
          <w:ilvl w:val="0"/>
          <w:numId w:val="2"/>
        </w:numPr>
        <w:tabs>
          <w:tab w:val="clear" w:pos="720"/>
          <w:tab w:val="left" w:pos="0" w:leader="none"/>
        </w:tabs>
        <w:ind w:hanging="720" w:start="720" w:end="0"/>
        <w:rPr>
          <w:sz w:val="20"/>
          <w:szCs w:val="20"/>
        </w:rPr>
      </w:pPr>
      <w:r>
        <w:rPr>
          <w:sz w:val="20"/>
          <w:szCs w:val="20"/>
        </w:rPr>
        <w:t>Shahid Razzak will provide two previously analyzed PCB samples to John Jacobs in Victorville.</w:t>
      </w:r>
      <w:r>
        <w:rPr>
          <w:rStyle w:val="FootnoteCharacters"/>
          <w:sz w:val="20"/>
          <w:szCs w:val="20"/>
        </w:rPr>
        <w:t xml:space="preserve"> </w:t>
      </w:r>
      <w:r>
        <w:rPr>
          <w:rStyle w:val="FootnoteCharacters"/>
          <w:rStyle w:val="FootnoteReference"/>
          <w:sz w:val="20"/>
          <w:szCs w:val="20"/>
        </w:rPr>
        <w:footnoteReference w:id="8"/>
      </w:r>
    </w:p>
    <w:p>
      <w:pPr>
        <w:pStyle w:val="VisibleText"/>
        <w:numPr>
          <w:ilvl w:val="0"/>
          <w:numId w:val="2"/>
        </w:numPr>
        <w:tabs>
          <w:tab w:val="clear" w:pos="720"/>
          <w:tab w:val="left" w:pos="0" w:leader="none"/>
        </w:tabs>
        <w:ind w:hanging="360" w:start="720" w:end="0"/>
        <w:rPr>
          <w:sz w:val="20"/>
          <w:szCs w:val="20"/>
        </w:rPr>
      </w:pPr>
      <w:r>
        <w:rPr>
          <w:sz w:val="20"/>
          <w:szCs w:val="20"/>
        </w:rPr>
        <w:t>John Jacobs will send splits to Sherwood Labs and another laboratory to be determined.</w:t>
      </w:r>
    </w:p>
    <w:p>
      <w:pPr>
        <w:pStyle w:val="VisibleText"/>
        <w:rPr>
          <w:sz w:val="20"/>
          <w:szCs w:val="20"/>
        </w:rPr>
      </w:pPr>
      <w:r>
        <w:rPr>
          <w:sz w:val="20"/>
          <w:szCs w:val="20"/>
        </w:rPr>
      </w:r>
    </w:p>
    <w:p>
      <w:pPr>
        <w:pStyle w:val="VisibleText"/>
        <w:rPr>
          <w:sz w:val="20"/>
          <w:szCs w:val="20"/>
        </w:rPr>
      </w:pPr>
      <w:r>
        <w:rPr>
          <w:sz w:val="20"/>
          <w:szCs w:val="20"/>
        </w:rPr>
      </w:r>
    </w:p>
    <w:p>
      <w:pPr>
        <w:pStyle w:val="VisibleText"/>
        <w:rPr>
          <w:sz w:val="20"/>
          <w:szCs w:val="20"/>
        </w:rPr>
      </w:pPr>
      <w:r>
        <w:rPr>
          <w:sz w:val="20"/>
          <w:szCs w:val="20"/>
        </w:rPr>
      </w:r>
    </w:p>
    <w:p>
      <w:pPr>
        <w:pStyle w:val="VisibleText"/>
        <w:tabs>
          <w:tab w:val="left" w:pos="720" w:leader="none"/>
          <w:tab w:val="left" w:pos="5040" w:leader="none"/>
        </w:tabs>
        <w:rPr>
          <w:sz w:val="20"/>
          <w:szCs w:val="20"/>
        </w:rPr>
      </w:pPr>
      <w:r>
        <w:rPr>
          <w:sz w:val="20"/>
          <w:szCs w:val="20"/>
        </w:rPr>
        <w:t>cc:</w:t>
        <w:tab/>
        <w:t>Lee Stewart</w:t>
        <w:tab/>
        <w:t>Bill Jollie</w:t>
      </w:r>
    </w:p>
    <w:p>
      <w:pPr>
        <w:pStyle w:val="VisibleText"/>
        <w:tabs>
          <w:tab w:val="clear" w:pos="720"/>
          <w:tab w:val="left" w:pos="5040" w:leader="none"/>
        </w:tabs>
        <w:ind w:start="720" w:end="0"/>
        <w:rPr>
          <w:sz w:val="20"/>
          <w:szCs w:val="20"/>
        </w:rPr>
      </w:pPr>
      <w:r>
        <w:rPr>
          <w:sz w:val="20"/>
          <w:szCs w:val="20"/>
        </w:rPr>
        <w:t>Mike Middleton</w:t>
        <w:tab/>
        <w:t>Shahid Razzak</w:t>
      </w:r>
    </w:p>
    <w:p>
      <w:pPr>
        <w:pStyle w:val="VisibleText"/>
        <w:tabs>
          <w:tab w:val="clear" w:pos="720"/>
          <w:tab w:val="left" w:pos="5040" w:leader="none"/>
        </w:tabs>
        <w:ind w:start="720" w:end="0"/>
        <w:rPr>
          <w:sz w:val="20"/>
          <w:szCs w:val="20"/>
        </w:rPr>
      </w:pPr>
      <w:r>
        <w:rPr>
          <w:sz w:val="20"/>
          <w:szCs w:val="20"/>
        </w:rPr>
        <w:t>Roger Warr</w:t>
        <w:tab/>
        <w:t>Dan Meltzer</w:t>
      </w:r>
    </w:p>
    <w:p>
      <w:pPr>
        <w:pStyle w:val="VisibleText"/>
        <w:tabs>
          <w:tab w:val="clear" w:pos="720"/>
          <w:tab w:val="left" w:pos="5040" w:leader="none"/>
        </w:tabs>
        <w:ind w:start="720" w:end="0"/>
        <w:rPr>
          <w:sz w:val="20"/>
          <w:szCs w:val="20"/>
        </w:rPr>
      </w:pPr>
      <w:r>
        <w:rPr>
          <w:sz w:val="20"/>
          <w:szCs w:val="20"/>
        </w:rPr>
        <w:t>Mary Howard</w:t>
        <w:tab/>
        <w:t>Larry Sasadeusz</w:t>
      </w:r>
    </w:p>
    <w:p>
      <w:pPr>
        <w:pStyle w:val="VisibleText"/>
        <w:tabs>
          <w:tab w:val="clear" w:pos="720"/>
          <w:tab w:val="left" w:pos="5040" w:leader="none"/>
        </w:tabs>
        <w:ind w:start="720" w:end="0"/>
        <w:rPr>
          <w:sz w:val="20"/>
          <w:szCs w:val="20"/>
        </w:rPr>
      </w:pPr>
      <w:r>
        <w:rPr>
          <w:sz w:val="20"/>
          <w:szCs w:val="20"/>
        </w:rPr>
        <w:t>Bob Cordova</w:t>
        <w:tab/>
        <w:t>Howard Levin</w:t>
      </w:r>
    </w:p>
    <w:p>
      <w:pPr>
        <w:pStyle w:val="VisibleText"/>
        <w:rPr>
          <w:sz w:val="20"/>
          <w:szCs w:val="20"/>
        </w:rPr>
      </w:pPr>
      <w:r>
        <w:rPr>
          <w:sz w:val="20"/>
          <w:szCs w:val="20"/>
        </w:rPr>
      </w:r>
    </w:p>
    <w:p>
      <w:pPr>
        <w:pStyle w:val="VisibleText"/>
        <w:rPr>
          <w:sz w:val="18"/>
          <w:szCs w:val="18"/>
        </w:rPr>
      </w:pPr>
      <w:r>
        <w:rPr>
          <w:sz w:val="18"/>
          <w:szCs w:val="18"/>
        </w:rPr>
        <w:t>KOMAI/SWMTG201 031201</w:t>
      </w:r>
    </w:p>
    <w:p>
      <w:pPr>
        <w:pStyle w:val="Normal"/>
        <w:rPr>
          <w:sz w:val="18"/>
          <w:szCs w:val="18"/>
        </w:rPr>
      </w:pPr>
      <w:r>
        <w:rPr>
          <w:sz w:val="18"/>
          <w:szCs w:val="18"/>
        </w:rPr>
      </w:r>
    </w:p>
    <w:sectPr>
      <w:footnotePr>
        <w:numFmt w:val="decimal"/>
      </w:footnotePr>
      <w:type w:val="continuous"/>
      <w:pgSz w:w="12240" w:h="15840"/>
      <w:pgMar w:left="1440" w:right="1440" w:gutter="0" w:header="0" w:top="360" w:footer="0" w:bottom="1440"/>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Interstate-Light">
    <w:charset w:val="01"/>
    <w:family w:val="auto"/>
    <w:pitch w:val="variable"/>
  </w:font>
  <w:font w:name="Wingdings">
    <w:altName w:val="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Aroclor is a product name used by Monsanto for its PCB products.  About eight different commercial Aroclors were sold, each with slightly different physical properties.  For the 1200 series, the last two digits represent the percentage chlorine in the PCB, e.g., 1242 had 42% chlorine.</w:t>
      </w:r>
    </w:p>
  </w:footnote>
  <w:footnote w:id="3">
    <w:p>
      <w:pPr>
        <w:pStyle w:val="FootnoteText"/>
        <w:rPr/>
      </w:pPr>
      <w:r>
        <w:rPr>
          <w:rStyle w:val="FootnoteCharacters"/>
        </w:rPr>
        <w:footnoteRef/>
      </w:r>
      <w:r>
        <w:rPr/>
        <w:t xml:space="preserve"> </w:t>
      </w:r>
      <w:r>
        <w:rPr/>
        <w:t>Gwen Marelli and Richard Ishikawa (ETS Marketing) and Ralph Komai (Sempra Energy Environmental Services) participated in discussions on this issue.</w:t>
      </w:r>
    </w:p>
  </w:footnote>
  <w:footnote w:id="4">
    <w:p>
      <w:pPr>
        <w:pStyle w:val="FootnoteText"/>
        <w:rPr/>
      </w:pPr>
      <w:r>
        <w:rPr>
          <w:rStyle w:val="FootnoteCharacters"/>
        </w:rPr>
        <w:footnoteRef/>
      </w:r>
      <w:r>
        <w:rPr/>
        <w:t xml:space="preserve"> </w:t>
      </w:r>
      <w:r>
        <w:rPr/>
        <w:t>A federal EPA standard PCB wipe sample uses gauze pads containing organic solvent to wipe over a measured 10 cm by 10 cm area.  The gauze is extracted with solvent, and the quantity of PCB recovered is measured.</w:t>
      </w:r>
    </w:p>
  </w:footnote>
  <w:footnote w:id="5">
    <w:p>
      <w:pPr>
        <w:pStyle w:val="FootnoteText"/>
        <w:rPr/>
      </w:pPr>
      <w:r>
        <w:rPr>
          <w:rStyle w:val="FootnoteCharacters"/>
        </w:rPr>
        <w:footnoteRef/>
      </w:r>
      <w:r>
        <w:rPr/>
        <w:t xml:space="preserve"> </w:t>
      </w:r>
      <w:r>
        <w:rPr/>
        <w:t>Sherwood Labs, 8071 North Lander Avenue, P.O. Box 937, Hilmar, CA 95324, Phone: 209-667-5258.</w:t>
      </w:r>
    </w:p>
  </w:footnote>
  <w:footnote w:id="6">
    <w:p>
      <w:pPr>
        <w:pStyle w:val="FootnoteText"/>
        <w:rPr/>
      </w:pPr>
      <w:r>
        <w:rPr>
          <w:rStyle w:val="FootnoteCharacters"/>
        </w:rPr>
        <w:footnoteRef/>
      </w:r>
      <w:r>
        <w:rPr/>
        <w:t xml:space="preserve"> </w:t>
      </w:r>
      <w:r>
        <w:rPr/>
        <w:t>EPA specifies that when PCBs are found within a company’s system, the company must identify internal “sources” of PCBs.  There are no internal sources of PCBs within SWG’s system.</w:t>
      </w:r>
    </w:p>
  </w:footnote>
  <w:footnote w:id="7">
    <w:p>
      <w:pPr>
        <w:pStyle w:val="FootnoteText"/>
        <w:rPr/>
      </w:pPr>
      <w:r>
        <w:rPr>
          <w:rStyle w:val="FootnoteCharacters"/>
        </w:rPr>
        <w:footnoteRef/>
      </w:r>
      <w:r>
        <w:rPr/>
        <w:t xml:space="preserve"> </w:t>
      </w:r>
      <w:r>
        <w:rPr/>
        <w:t>Federal EPA regulates PCBs at 50 ppm and greater, with more stringent requirements applying to levels of 500 ppm and greater.</w:t>
      </w:r>
    </w:p>
  </w:footnote>
  <w:footnote w:id="8">
    <w:p>
      <w:pPr>
        <w:pStyle w:val="FootnoteText"/>
        <w:rPr/>
      </w:pPr>
      <w:r>
        <w:rPr>
          <w:rStyle w:val="FootnoteCharacters"/>
        </w:rPr>
        <w:footnoteRef/>
      </w:r>
      <w:r>
        <w:rPr/>
        <w:t xml:space="preserve"> </w:t>
      </w:r>
      <w:r>
        <w:rPr/>
        <w:t>Samples were sent by Razzak on 3/7/01.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sz w:val="24"/>
      <w:szCs w:val="24"/>
    </w:rPr>
  </w:style>
  <w:style w:type="paragraph" w:styleId="Heading3">
    <w:name w:val="heading 3"/>
    <w:basedOn w:val="Normal"/>
    <w:next w:val="Normal"/>
    <w:qFormat/>
    <w:pPr>
      <w:keepNext w:val="true"/>
      <w:numPr>
        <w:ilvl w:val="2"/>
        <w:numId w:val="1"/>
      </w:numPr>
      <w:outlineLvl w:val="2"/>
    </w:pPr>
    <w:rPr>
      <w:b/>
      <w:bCs/>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Interstate-Light" w:hAnsi="Interstate-Light" w:eastAsia="Interstate-Light" w:cs="Interstate-Light"/>
      <w:b/>
      <w:bCs/>
      <w:sz w:val="24"/>
      <w:szCs w:val="24"/>
    </w:rPr>
  </w:style>
  <w:style w:type="paragraph" w:styleId="Footer">
    <w:name w:val="footer"/>
    <w:basedOn w:val="Normal"/>
    <w:pPr>
      <w:tabs>
        <w:tab w:val="clear" w:pos="720"/>
        <w:tab w:val="center" w:pos="4320" w:leader="none"/>
        <w:tab w:val="right" w:pos="8640" w:leader="none"/>
      </w:tabs>
    </w:pPr>
    <w:rPr>
      <w:sz w:val="24"/>
      <w:szCs w:val="24"/>
    </w:rPr>
  </w:style>
  <w:style w:type="paragraph" w:styleId="VisibleText">
    <w:name w:val="Visible Text"/>
    <w:basedOn w:val="Normal"/>
    <w:qFormat/>
    <w:pPr>
      <w:spacing w:lineRule="exact" w:line="280"/>
    </w:pPr>
    <w:rPr>
      <w:sz w:val="24"/>
      <w:szCs w:val="24"/>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SEMPMem.dot</Template>
  <TotalTime>310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2001-03-01T15:24:00Z</dcterms:created>
  <dc:creator>Sempra Energy</dc:creator>
  <dc:description/>
  <dc:language>en-CA</dc:language>
  <cp:lastModifiedBy>Sempra Energy</cp:lastModifiedBy>
  <dcterms:modified xsi:type="dcterms:W3CDTF">2001-03-12T20:47:00Z</dcterms:modified>
  <cp:revision>13</cp:revision>
  <dc:subject/>
  <dc:title> </dc:title>
</cp:coreProperties>
</file>