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4320" w:leader="none"/>
        </w:tabs>
        <w:rPr/>
      </w:pPr>
      <w:r>
        <w:rPr/>
        <w:t>San Diego Gas &amp; Electric Company,</w:t>
        <w:tab/>
        <w:t>)</w:t>
      </w:r>
    </w:p>
    <w:p>
      <w:pPr>
        <w:pStyle w:val="Normal"/>
        <w:tabs>
          <w:tab w:val="clear" w:pos="720"/>
          <w:tab w:val="left" w:pos="4320" w:leader="none"/>
        </w:tabs>
        <w:ind w:start="1440" w:end="0"/>
        <w:rPr/>
      </w:pPr>
      <w:r>
        <w:rPr/>
        <w:t>Complainant,</w:t>
        <w:tab/>
        <w:t>)</w:t>
      </w:r>
    </w:p>
    <w:p>
      <w:pPr>
        <w:pStyle w:val="Normal"/>
        <w:tabs>
          <w:tab w:val="clear" w:pos="720"/>
          <w:tab w:val="left" w:pos="4320" w:leader="none"/>
        </w:tabs>
        <w:rPr/>
      </w:pPr>
      <w:r>
        <w:rPr/>
        <w:tab/>
        <w:t>)</w:t>
      </w:r>
    </w:p>
    <w:p>
      <w:pPr>
        <w:pStyle w:val="Normal"/>
        <w:ind w:firstLine="1440" w:end="0"/>
        <w:rPr/>
      </w:pPr>
      <w:r>
        <w:rPr/>
        <w:t>v.</w:t>
        <w:tab/>
        <w:tab/>
        <w:tab/>
        <w:tab/>
        <w:t>)</w:t>
        <w:tab/>
        <w:t>Docket No. EL00-95-045</w:t>
      </w:r>
    </w:p>
    <w:p>
      <w:pPr>
        <w:pStyle w:val="Normal"/>
        <w:tabs>
          <w:tab w:val="clear" w:pos="720"/>
          <w:tab w:val="left" w:pos="4320" w:leader="none"/>
        </w:tabs>
        <w:ind w:firstLine="1440" w:end="0"/>
        <w:rPr/>
      </w:pPr>
      <w:r>
        <w:rPr/>
        <w:tab/>
        <w:t>)</w:t>
      </w:r>
    </w:p>
    <w:p>
      <w:pPr>
        <w:pStyle w:val="Normal"/>
        <w:tabs>
          <w:tab w:val="clear" w:pos="720"/>
          <w:tab w:val="left" w:pos="4320" w:leader="none"/>
        </w:tabs>
        <w:rPr/>
      </w:pPr>
      <w:r>
        <w:rPr/>
        <w:t xml:space="preserve">Sellers of Energy and Ancillary Service </w:t>
        <w:tab/>
        <w:t>)</w:t>
      </w:r>
    </w:p>
    <w:p>
      <w:pPr>
        <w:pStyle w:val="Normal"/>
        <w:tabs>
          <w:tab w:val="clear" w:pos="720"/>
          <w:tab w:val="left" w:pos="4320" w:leader="none"/>
        </w:tabs>
        <w:ind w:start="180" w:end="0"/>
        <w:rPr/>
      </w:pPr>
      <w:r>
        <w:rPr/>
        <w:t>Into Markets Operated by the California</w:t>
        <w:tab/>
        <w:t>)</w:t>
      </w:r>
    </w:p>
    <w:p>
      <w:pPr>
        <w:pStyle w:val="Normal"/>
        <w:tabs>
          <w:tab w:val="clear" w:pos="720"/>
          <w:tab w:val="left" w:pos="4320" w:leader="none"/>
        </w:tabs>
        <w:ind w:start="180" w:end="0"/>
        <w:rPr/>
      </w:pPr>
      <w:r>
        <w:rPr/>
        <w:t>Independent System Operator Corporation</w:t>
        <w:tab/>
        <w:t>)</w:t>
      </w:r>
    </w:p>
    <w:p>
      <w:pPr>
        <w:pStyle w:val="Normal"/>
        <w:tabs>
          <w:tab w:val="clear" w:pos="720"/>
          <w:tab w:val="left" w:pos="4320" w:leader="none"/>
        </w:tabs>
        <w:ind w:start="180" w:end="0"/>
        <w:rPr/>
      </w:pPr>
      <w:r>
        <w:rPr/>
        <w:t>and the California Power Exchange,</w:t>
        <w:tab/>
        <w:t>)</w:t>
      </w:r>
    </w:p>
    <w:p>
      <w:pPr>
        <w:pStyle w:val="Normal"/>
        <w:tabs>
          <w:tab w:val="clear" w:pos="720"/>
          <w:tab w:val="left" w:pos="4320" w:leader="none"/>
        </w:tabs>
        <w:ind w:start="1440" w:end="0"/>
        <w:rPr/>
      </w:pPr>
      <w:r>
        <w:rPr/>
        <w:t>Respondents.</w:t>
        <w:tab/>
        <w:t>)</w:t>
      </w:r>
    </w:p>
    <w:p>
      <w:pPr>
        <w:pStyle w:val="Normal"/>
        <w:tabs>
          <w:tab w:val="clear" w:pos="720"/>
          <w:tab w:val="left" w:pos="4320" w:leader="none"/>
        </w:tabs>
        <w:rPr/>
      </w:pPr>
      <w:r>
        <w:rPr/>
        <w:tab/>
        <w:t>)</w:t>
      </w:r>
    </w:p>
    <w:p>
      <w:pPr>
        <w:pStyle w:val="Normal"/>
        <w:tabs>
          <w:tab w:val="clear" w:pos="720"/>
          <w:tab w:val="left" w:pos="4320" w:leader="none"/>
        </w:tabs>
        <w:rPr/>
      </w:pPr>
      <w:r>
        <w:rPr/>
        <w:t>Investigation of Practices of the California</w:t>
        <w:tab/>
        <w:t>)</w:t>
        <w:tab/>
        <w:t xml:space="preserve">Docket No. EL00-98-042 </w:t>
      </w:r>
    </w:p>
    <w:p>
      <w:pPr>
        <w:pStyle w:val="Normal"/>
        <w:tabs>
          <w:tab w:val="clear" w:pos="720"/>
          <w:tab w:val="left" w:pos="4320" w:leader="none"/>
        </w:tabs>
        <w:ind w:start="180" w:end="0"/>
        <w:rPr/>
      </w:pPr>
      <w:r>
        <w:rPr/>
        <w:t>Independent System Operator and the</w:t>
        <w:tab/>
        <w:t>)</w:t>
      </w:r>
    </w:p>
    <w:p>
      <w:pPr>
        <w:pStyle w:val="Normal"/>
        <w:tabs>
          <w:tab w:val="clear" w:pos="720"/>
          <w:tab w:val="left" w:pos="4320" w:leader="none"/>
        </w:tabs>
        <w:ind w:start="180" w:end="0"/>
        <w:rPr/>
      </w:pPr>
      <w:r>
        <w:rPr/>
        <w:t>California Power Exchange</w:t>
        <w:tab/>
        <w:t>)</w:t>
      </w:r>
    </w:p>
    <w:p>
      <w:pPr>
        <w:pStyle w:val="Normal"/>
        <w:tabs>
          <w:tab w:val="clear" w:pos="720"/>
          <w:tab w:val="left" w:pos="4320" w:leader="none"/>
        </w:tabs>
        <w:ind w:start="180" w:end="0"/>
        <w:rPr/>
      </w:pPr>
      <w:r>
        <w:rPr/>
      </w:r>
    </w:p>
    <w:p>
      <w:pPr>
        <w:pStyle w:val="Normal"/>
        <w:rPr>
          <w:b/>
        </w:rPr>
      </w:pPr>
      <w:r>
        <w:rPr>
          <w:b/>
        </w:rPr>
      </w:r>
    </w:p>
    <w:p>
      <w:pPr>
        <w:pStyle w:val="Heading2"/>
        <w:ind w:hanging="0" w:start="0"/>
        <w:rPr/>
      </w:pPr>
      <w:r>
        <w:rPr/>
        <w:t>RESPONSE OF THE STATE WATER CONTRACTORS AND</w:t>
      </w:r>
    </w:p>
    <w:p>
      <w:pPr>
        <w:pStyle w:val="Normal"/>
        <w:jc w:val="center"/>
        <w:rPr>
          <w:b/>
        </w:rPr>
      </w:pPr>
      <w:r>
        <w:rPr>
          <w:b/>
        </w:rPr>
        <w:t xml:space="preserve">THE METROPOLITAN WATER DISTRICT OF SOUTHERN CALIFORNIA </w:t>
      </w:r>
    </w:p>
    <w:p>
      <w:pPr>
        <w:pStyle w:val="Normal"/>
        <w:jc w:val="center"/>
        <w:rPr>
          <w:b/>
        </w:rPr>
      </w:pPr>
      <w:r>
        <w:rPr>
          <w:b/>
        </w:rPr>
        <w:t>TO ORDER RE PROTECTIVE ORDER</w:t>
      </w:r>
    </w:p>
    <w:p>
      <w:pPr>
        <w:pStyle w:val="Normal"/>
        <w:rPr>
          <w:b/>
        </w:rPr>
      </w:pPr>
      <w:r>
        <w:rPr>
          <w:b/>
        </w:rPr>
      </w:r>
    </w:p>
    <w:p>
      <w:pPr>
        <w:pStyle w:val="Pleadingparagraph"/>
        <w:spacing w:lineRule="auto" w:line="240"/>
        <w:rPr/>
      </w:pPr>
      <w:r>
        <w:rPr/>
      </w:r>
    </w:p>
    <w:p>
      <w:pPr>
        <w:pStyle w:val="Normal"/>
        <w:rPr>
          <w:b/>
          <w:bCs/>
        </w:rPr>
      </w:pPr>
      <w:r>
        <w:rPr>
          <w:b/>
          <w:bCs/>
        </w:rPr>
        <w:t>To:</w:t>
        <w:tab/>
        <w:t>Honorable Bruce L. Birchman</w:t>
      </w:r>
    </w:p>
    <w:p>
      <w:pPr>
        <w:pStyle w:val="Pleadingparagraph"/>
        <w:tabs>
          <w:tab w:val="clear" w:pos="720"/>
          <w:tab w:val="left" w:pos="450" w:leader="none"/>
        </w:tabs>
        <w:spacing w:lineRule="auto" w:line="240"/>
        <w:rPr>
          <w:b/>
          <w:bCs/>
        </w:rPr>
      </w:pPr>
      <w:r>
        <w:rPr>
          <w:b/>
          <w:bCs/>
        </w:rPr>
        <w:t xml:space="preserve">     </w:t>
      </w:r>
      <w:r>
        <w:rPr>
          <w:b/>
          <w:bCs/>
        </w:rPr>
        <w:tab/>
        <w:tab/>
        <w:t>Presiding Administrative Law Judge</w:t>
      </w:r>
    </w:p>
    <w:p>
      <w:pPr>
        <w:pStyle w:val="Normal"/>
        <w:rPr>
          <w:b/>
          <w:bCs/>
        </w:rPr>
      </w:pPr>
      <w:r>
        <w:rPr>
          <w:b/>
          <w:bCs/>
        </w:rPr>
      </w:r>
    </w:p>
    <w:p>
      <w:pPr>
        <w:pStyle w:val="Normal"/>
        <w:rPr/>
      </w:pPr>
      <w:r>
        <w:rPr/>
      </w:r>
    </w:p>
    <w:p>
      <w:pPr>
        <w:pStyle w:val="Paragraph"/>
        <w:tabs>
          <w:tab w:val="clear" w:pos="1440"/>
        </w:tabs>
        <w:spacing w:lineRule="auto" w:line="480"/>
        <w:rPr/>
      </w:pPr>
      <w:r>
        <w:rPr/>
        <w:t>Pursuant to the Order issued on November 15, 2001 by the Presiding Administrative Law Judge in the above-entitled proceeding, the State Water Contractors (“SWC”) and The Metropolitan Water District of Southern California (“Metropolitan”) hereby respond.</w:t>
      </w:r>
    </w:p>
    <w:p>
      <w:pPr>
        <w:pStyle w:val="Normal"/>
        <w:spacing w:lineRule="auto" w:line="480"/>
        <w:ind w:firstLine="1440" w:end="0"/>
        <w:rPr/>
      </w:pPr>
      <w:r>
        <w:rPr/>
        <w:t xml:space="preserve">SWC and Metropolitan jointly filed Responsive Testimony on November 6, 2001.  Exhibit Nos. SWC-1 through SWC-7.  No testimony or supporting exhibits referenced heat rates.  Exhibit No. SWC-4, Schedules E and K each reference the ISO’s Mitigated Market Clearing Price.  Neither SWC nor Metropolitan believes either Schedule contains information that is otherwise eligible for continued confidentiality under the Protective Order issued in this proceeding on August 7, 2001.  </w:t>
      </w:r>
    </w:p>
    <w:p>
      <w:pPr>
        <w:pStyle w:val="Normal"/>
        <w:spacing w:lineRule="auto" w:line="480"/>
        <w:ind w:firstLine="1440" w:end="0"/>
        <w:rPr/>
      </w:pPr>
      <w:r>
        <w:rPr/>
        <w:t xml:space="preserve">Exhibit No. SWC-4, Schedules C, D, I and J and Exhibit No. SWC-5 each contain information revealing the seller, quantity and price of power purchases of the California Department of Water Resources during the Refund Period.  These purchases were transacted through the California Power Exchange or under the Western Systems Power Pool (“WSPP”) Agreement.  Under Section 30 of the WSPP Agreement, neither party may disclose the terms of a transaction made under the Agreement unless, among other things, disclosure is required to be made in connection with a regulatory proceeding.  Even if disclosure is compelled, the Agreement obligates the transacting parties to use reasonable efforts to minimize the scope of any disclosure and to have the recipients maintain the confidentiality of any documents or confidential information, including, if appropriate, seeking a protective order.  Therefore, unless and until an order is issued in this proceeding requiring the public </w:t>
      </w:r>
      <w:r>
        <w:br w:type="page"/>
      </w:r>
    </w:p>
    <w:p>
      <w:pPr>
        <w:pStyle w:val="Normal"/>
        <w:spacing w:lineRule="auto" w:line="480"/>
        <w:rPr/>
      </w:pPr>
      <w:r>
        <w:rPr/>
        <w:t xml:space="preserve">disclosure of such transaction terms, SWC and Metropolitan must continue to seek confidential treatment of said information under the Protective Order.  </w:t>
      </w:r>
    </w:p>
    <w:p>
      <w:pPr>
        <w:pStyle w:val="Pleadingparagraph"/>
        <w:tabs>
          <w:tab w:val="clear" w:pos="720"/>
          <w:tab w:val="left" w:pos="4320" w:leader="none"/>
        </w:tabs>
        <w:spacing w:lineRule="auto" w:line="240"/>
        <w:rPr/>
      </w:pPr>
      <w:r>
        <w:rPr/>
      </w:r>
    </w:p>
    <w:p>
      <w:pPr>
        <w:pStyle w:val="Pleadingparagraph"/>
        <w:tabs>
          <w:tab w:val="clear" w:pos="720"/>
          <w:tab w:val="left" w:pos="4320" w:leader="none"/>
        </w:tabs>
        <w:spacing w:lineRule="auto" w:line="240"/>
        <w:rPr/>
      </w:pPr>
      <w:r>
        <w:rPr/>
        <w:t>Dated: November 21, 2001</w:t>
        <w:tab/>
        <w:t xml:space="preserve">Respectfully submitted, </w:t>
      </w:r>
    </w:p>
    <w:p>
      <w:pPr>
        <w:pStyle w:val="Pleadingparagraph"/>
        <w:tabs>
          <w:tab w:val="clear" w:pos="720"/>
          <w:tab w:val="left" w:pos="5040" w:leader="none"/>
        </w:tabs>
        <w:spacing w:lineRule="auto" w:line="240"/>
        <w:rPr/>
      </w:pPr>
      <w:r>
        <w:rPr/>
      </w:r>
    </w:p>
    <w:p>
      <w:pPr>
        <w:pStyle w:val="Pleadingparagraph"/>
        <w:tabs>
          <w:tab w:val="clear" w:pos="720"/>
          <w:tab w:val="left" w:pos="5040" w:leader="none"/>
        </w:tabs>
        <w:spacing w:lineRule="auto"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Wallace L. Duncan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Michael Postar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smallCaps/>
        </w:rPr>
      </w:pPr>
      <w:r>
        <w:rPr>
          <w:smallCaps/>
        </w:rPr>
        <w:t>Duncan, Weinberg, Genzer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smallCaps/>
        </w:rPr>
        <w:t xml:space="preserve">  </w:t>
      </w:r>
      <w:r>
        <w:rPr>
          <w:smallCaps/>
        </w:rPr>
        <w:t>&amp; Pembroke</w:t>
      </w:r>
      <w:r>
        <w:rPr/>
        <w:t>, P.C.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1615 M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Suite 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(202) 467-6370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4320" w:end="0"/>
        <w:rPr/>
      </w:pPr>
      <w:r>
        <w:rPr/>
        <w:t xml:space="preserve">Attorneys for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4320" w:end="0"/>
        <w:rPr/>
      </w:pPr>
      <w:r>
        <w:rPr/>
        <w:t>State Water Contractors Association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and The Metropolitan Water District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firstLine="4320" w:end="0"/>
        <w:rPr/>
      </w:pPr>
      <w:r>
        <w:rPr/>
        <w:t xml:space="preserve">  </w:t>
      </w:r>
      <w:r>
        <w:rPr/>
        <w:t>of Southern California</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firstLine="4320" w:end="0"/>
        <w:rPr/>
      </w:pPr>
      <w:r>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Diana Mahmud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Deputy General Counsel</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The Metropolitan Water District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 xml:space="preserve">  </w:t>
      </w:r>
      <w:r>
        <w:rPr/>
        <w:t>of Southern California</w:t>
        <w:tab/>
        <w:tab/>
        <w:tab/>
        <w:tab/>
        <w:tab/>
        <w:tab/>
        <w:tab/>
        <w:tab/>
        <w:tab/>
        <w:tab/>
        <w:t>P.O. Box 54153</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Los Angeles, CA  90054-0153</w:t>
      </w:r>
    </w:p>
    <w:sectPr>
      <w:type w:val="nextPage"/>
      <w:pgSz w:w="12240" w:h="15840"/>
      <w:pgMar w:left="1620" w:right="1530" w:gutter="0" w:header="0" w:top="144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04"/>
        </w:tabs>
        <w:ind w:start="0" w:firstLine="144"/>
      </w:pPr>
      <w:rPr>
        <w:sz w:val="24"/>
        <w:i w:val="fals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320" w:leader="none"/>
      </w:tabs>
      <w:ind w:hanging="0" w:start="270" w:end="0"/>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qFormat/>
    <w:rPr>
      <w:sz w:val="28"/>
      <w:vertAlign w:val="superscrip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eadingparagraph">
    <w:name w:val="Pleading paragraph"/>
    <w:basedOn w:val="Normal"/>
    <w:qFormat/>
    <w:pPr>
      <w:spacing w:lineRule="atLeast" w:line="480"/>
    </w:pPr>
    <w:rPr/>
  </w:style>
  <w:style w:type="paragraph" w:styleId="pleadingparagraph1">
    <w:name w:val="pleading paragraph1"/>
    <w:basedOn w:val="Normal"/>
    <w:qFormat/>
    <w:pPr>
      <w:numPr>
        <w:ilvl w:val="0"/>
        <w:numId w:val="2"/>
      </w:numPr>
      <w:spacing w:lineRule="atLeast" w:line="480"/>
    </w:pPr>
    <w:rPr/>
  </w:style>
  <w:style w:type="paragraph" w:styleId="FootnoteText">
    <w:name w:val="footnote text"/>
    <w:basedOn w:val="Normal"/>
    <w:pPr/>
    <w:rPr>
      <w:sz w:val="22"/>
    </w:rPr>
  </w:style>
  <w:style w:type="paragraph" w:styleId="Paragraph">
    <w:name w:val="Paragraph"/>
    <w:basedOn w:val="Pleadingparagraph"/>
    <w:next w:val="Normal"/>
    <w:qFormat/>
    <w:pPr>
      <w:tabs>
        <w:tab w:val="clear" w:pos="720"/>
        <w:tab w:val="left" w:pos="1440" w:leader="none"/>
      </w:tabs>
      <w:ind w:firstLine="144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2001-11-20T20:10:00Z</dcterms:created>
  <dc:creator>Diana Mahmud</dc:creator>
  <dc:description/>
  <dc:language>en-CA</dc:language>
  <cp:lastModifiedBy>13W5J01</cp:lastModifiedBy>
  <cp:lastPrinted>2001-11-21T13:01:00Z</cp:lastPrinted>
  <dcterms:modified xsi:type="dcterms:W3CDTF">2001-11-21T15:43:00Z</dcterms:modified>
  <cp:revision>7</cp:revision>
  <dc:subject/>
  <dc:title>UNITED STATES OF AMERICA</dc:title>
</cp:coreProperties>
</file>