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6"/>
          <w:szCs w:val="16"/>
        </w:rPr>
      </w:pPr>
      <w:r>
        <w:rPr>
          <w:sz w:val="16"/>
          <w:szCs w:val="16"/>
        </w:rPr>
      </w:r>
    </w:p>
    <w:p>
      <w:pPr>
        <w:pStyle w:val="Heading1"/>
        <w:ind w:hanging="0" w:start="0"/>
        <w:rPr>
          <w:sz w:val="16"/>
          <w:szCs w:val="16"/>
        </w:rPr>
      </w:pPr>
      <w:r>
        <w:rPr>
          <w:sz w:val="16"/>
          <w:szCs w:val="16"/>
        </w:rPr>
      </w:r>
    </w:p>
    <w:p>
      <w:pPr>
        <w:pStyle w:val="Normal"/>
        <w:jc w:val="end"/>
        <w:rPr>
          <w:sz w:val="24"/>
          <w:szCs w:val="24"/>
        </w:rPr>
      </w:pPr>
      <w:r>
        <w:rPr>
          <w:sz w:val="24"/>
          <w:szCs w:val="24"/>
        </w:rPr>
        <w:t xml:space="preserve">                                                                   </w:t>
      </w:r>
      <w:r>
        <w:rPr>
          <w:sz w:val="24"/>
          <w:szCs w:val="24"/>
        </w:rPr>
        <w:tab/>
        <w:tab/>
        <w:tab/>
        <w:tab/>
        <w:tab/>
        <w:tab/>
        <w:tab/>
        <w:t xml:space="preserve"> October   , 2000</w:t>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Ladies and Gentlemen:</w:t>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As Deputy General Counsel of Power Authority of the State of New York (the “Authority”) and in accordance with the ISDA Master Agreement dated as of October   , 2000, between the Authority and ____________ (the “Counterparty”) (the “Master Agreement”), I hereby advise that in my opinion:</w:t>
      </w:r>
    </w:p>
    <w:p>
      <w:pPr>
        <w:pStyle w:val="Normal"/>
        <w:rPr>
          <w:sz w:val="24"/>
          <w:szCs w:val="24"/>
        </w:rPr>
      </w:pPr>
      <w:r>
        <w:rPr>
          <w:sz w:val="24"/>
          <w:szCs w:val="24"/>
        </w:rPr>
        <w:t xml:space="preserve">     </w:t>
      </w:r>
    </w:p>
    <w:p>
      <w:pPr>
        <w:pStyle w:val="BodyText2"/>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1.   The Authority is a body corporate and politic, a political subdivision and a corporate municipal instrumentality of the State of New York, created by and validly existing under the Power Authority Act, Title 1 of Article 5 of the Public Authorities Law, Chapter 43-A of the Consolidated Laws of the State of New York, as amended. The Authority has the power to execute and deliver the Master Agreement and to perform its obligations under the Master Agreement.</w:t>
      </w:r>
    </w:p>
    <w:p>
      <w:pPr>
        <w:pStyle w:val="Normal"/>
        <w:rPr>
          <w:sz w:val="24"/>
          <w:szCs w:val="24"/>
        </w:rPr>
      </w:pPr>
      <w:r>
        <w:rPr>
          <w:sz w:val="24"/>
          <w:szCs w:val="24"/>
        </w:rPr>
        <w:t xml:space="preserve">     </w:t>
      </w:r>
    </w:p>
    <w:p>
      <w:pPr>
        <w:pStyle w:val="Footer"/>
        <w:tabs>
          <w:tab w:val="clear" w:pos="4320"/>
          <w:tab w:val="clear" w:pos="8640"/>
          <w:tab w:val="left" w:pos="360" w:leader="none"/>
          <w:tab w:val="left" w:pos="1080" w:leader="none"/>
        </w:tabs>
        <w:ind w:firstLine="720" w:end="0"/>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2.  The Master Agreement has been duly authorized, executed and delivered by the Authority, and assuming that the Master Agreement has been duly authorized, executed and delivered by the Counterparty, and is a legal, valid and binding obligation of the Counterparty enforceable against the Counterparty, the Master Agreement is in full force and effect, is a legal, valid and binding obligation of the Authority,  and is enforceable against the Authority in accordance with its terms, subject to bankruptcy, insolvency and other laws affecting the rights of creditors generally and to general principles of equity, and no other authorization for the Master Agreement is required.</w:t>
      </w:r>
    </w:p>
    <w:p>
      <w:pPr>
        <w:pStyle w:val="Normal"/>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sz w:val="24"/>
          <w:szCs w:val="24"/>
        </w:rPr>
      </w:r>
    </w:p>
    <w:p>
      <w:pPr>
        <w:pStyle w:val="Normal"/>
        <w:ind w:firstLine="540" w:start="180" w:end="0"/>
        <w:rPr>
          <w:sz w:val="24"/>
          <w:szCs w:val="24"/>
        </w:rPr>
      </w:pPr>
      <w:r>
        <w:rPr>
          <w:sz w:val="24"/>
          <w:szCs w:val="24"/>
        </w:rPr>
        <w:t>3.  The execution and delivery of the Master Agreement does not and will not violate any provision of law or regulation in effect on the date hereof or, to my knowledge after inquiry, under any agreement or instrument to which the Authority is bound.</w:t>
      </w:r>
    </w:p>
    <w:p>
      <w:pPr>
        <w:pStyle w:val="Normal"/>
        <w:rPr>
          <w:sz w:val="24"/>
          <w:szCs w:val="24"/>
        </w:rPr>
      </w:pPr>
      <w:r>
        <w:rPr>
          <w:sz w:val="24"/>
          <w:szCs w:val="24"/>
        </w:rPr>
      </w:r>
    </w:p>
    <w:p>
      <w:pPr>
        <w:pStyle w:val="Normal"/>
        <w:ind w:firstLine="540" w:start="180" w:end="0"/>
        <w:rPr>
          <w:sz w:val="24"/>
          <w:szCs w:val="24"/>
        </w:rPr>
      </w:pPr>
      <w:r>
        <w:rPr>
          <w:sz w:val="24"/>
          <w:szCs w:val="24"/>
        </w:rPr>
        <w:t>4.  No registration with, consent of, or approval by any governmental officer, agency or commission is necessary for the making and performance of the Master Agreement.</w:t>
      </w:r>
    </w:p>
    <w:p>
      <w:pPr>
        <w:pStyle w:val="WW-BodyText2"/>
        <w:rPr>
          <w:sz w:val="24"/>
          <w:szCs w:val="24"/>
        </w:rPr>
      </w:pPr>
      <w:r>
        <w:rPr>
          <w:sz w:val="24"/>
          <w:szCs w:val="24"/>
        </w:rPr>
      </w:r>
    </w:p>
    <w:p>
      <w:pPr>
        <w:pStyle w:val="WW-BodyText2"/>
        <w:rPr/>
      </w:pPr>
      <w:r>
        <w:rPr/>
        <w:t>This letter is furnished by the Authority solely for your benefit in connection with the provisions of the Master Agreement and may not be relied upon by any other person, without the Authority’s express written consent.</w:t>
      </w:r>
    </w:p>
    <w:p>
      <w:pPr>
        <w:pStyle w:val="Footer"/>
        <w:widowControl/>
        <w:tabs>
          <w:tab w:val="clear" w:pos="4320"/>
          <w:tab w:val="clear" w:pos="8640"/>
        </w:tabs>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sz w:val="24"/>
          <w:szCs w:val="24"/>
        </w:rPr>
      </w:r>
    </w:p>
    <w:p>
      <w:pPr>
        <w:pStyle w:val="Normal"/>
        <w:rPr>
          <w:sz w:val="24"/>
          <w:szCs w:val="24"/>
        </w:rPr>
      </w:pPr>
      <w:r>
        <w:rPr>
          <w:sz w:val="24"/>
          <w:szCs w:val="24"/>
        </w:rPr>
        <w:tab/>
        <w:tab/>
        <w:tab/>
        <w:tab/>
        <w:tab/>
        <w:tab/>
        <w:t xml:space="preserve">________________________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ID:Swapop3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New">
    <w:charset w:val="01"/>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Courier New;Courier New" w:hAnsi="Courier New;Courier New" w:eastAsia="Courier New;Courier New" w:cs="Courier New;Courier New"/>
      <w:sz w:val="24"/>
      <w:szCs w:val="24"/>
    </w:rPr>
  </w:style>
  <w:style w:type="paragraph" w:styleId="BodyText2">
    <w:name w:val="Body Text 2"/>
    <w:basedOn w:val="Normal"/>
    <w:qFormat/>
    <w:pPr>
      <w:widowControl w:val="false"/>
      <w:ind w:firstLine="720" w:start="0" w:end="0"/>
    </w:pPr>
    <w:rPr>
      <w:rFonts w:ascii="Courier New;Courier New" w:hAnsi="Courier New;Courier New" w:eastAsia="Courier New;Courier New" w:cs="Courier New;Courier New"/>
      <w:sz w:val="24"/>
      <w:szCs w:val="24"/>
    </w:rPr>
  </w:style>
  <w:style w:type="paragraph" w:styleId="BodyTextIndent2">
    <w:name w:val="Body Text Indent 2"/>
    <w:basedOn w:val="Normal"/>
    <w:qFormat/>
    <w:pPr>
      <w:widowControl w:val="false"/>
      <w:ind w:firstLine="540" w:start="180" w:end="0"/>
    </w:pPr>
    <w:rPr>
      <w:rFonts w:ascii="Courier New;Courier New" w:hAnsi="Courier New;Courier New" w:eastAsia="Courier New;Courier New" w:cs="Courier New;Courier New"/>
      <w:sz w:val="24"/>
      <w:szCs w:val="24"/>
    </w:rPr>
  </w:style>
  <w:style w:type="paragraph" w:styleId="WW-BodyText2">
    <w:name w:val="WW-Body Text 2"/>
    <w:basedOn w:val="Normal"/>
    <w:qFormat/>
    <w:pPr>
      <w:ind w:firstLine="720" w:start="0" w:end="0"/>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2000-10-09T10:09:00Z</dcterms:created>
  <dc:creator>Information Center</dc:creator>
  <dc:description/>
  <dc:language>en-CA</dc:language>
  <cp:lastModifiedBy>Information Center</cp:lastModifiedBy>
  <cp:lastPrinted>2000-09-28T10:36:00Z</cp:lastPrinted>
  <dcterms:modified xsi:type="dcterms:W3CDTF">2000-10-09T10:11:00Z</dcterms:modified>
  <cp:revision>1</cp:revision>
  <dc:subject/>
  <dc:title>                                                                   </dc:title>
</cp:coreProperties>
</file>