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Left"/>
        <w:spacing w:lineRule="auto" w:line="360"/>
        <w:rPr>
          <w:rFonts w:ascii="Arial" w:hAnsi="Arial" w:cs="Arial"/>
          <w:sz w:val="20"/>
        </w:rPr>
      </w:pPr>
      <w:r>
        <w:rPr>
          <w:rFonts w:cs="Arial" w:ascii="Arial" w:hAnsi="Arial"/>
          <w:sz w:val="20"/>
        </w:rPr>
        <w:t>FACTS</w:t>
      </w:r>
      <w:bookmarkStart w:id="0" w:name="Initials"/>
      <w:bookmarkEnd w:id="0"/>
    </w:p>
    <w:p>
      <w:pPr>
        <w:pStyle w:val="BodyMain"/>
        <w:spacing w:lineRule="auto" w:line="360"/>
        <w:rPr>
          <w:rFonts w:ascii="Arial" w:hAnsi="Arial" w:cs="Arial"/>
          <w:sz w:val="20"/>
        </w:rPr>
      </w:pPr>
      <w:r>
        <w:rPr>
          <w:rFonts w:cs="Arial" w:ascii="Arial" w:hAnsi="Arial"/>
          <w:sz w:val="20"/>
        </w:rPr>
        <w:t>Based upon our review of the documents that you have provided to us and our recent telephone conversations, we understand the facts to be as follows.</w:t>
      </w:r>
    </w:p>
    <w:p>
      <w:pPr>
        <w:pStyle w:val="BodyMain"/>
        <w:spacing w:lineRule="auto" w:line="360"/>
        <w:rPr>
          <w:rFonts w:ascii="Arial" w:hAnsi="Arial" w:cs="Arial"/>
          <w:sz w:val="20"/>
        </w:rPr>
      </w:pPr>
      <w:r>
        <w:rPr>
          <w:rFonts w:cs="Arial" w:ascii="Arial" w:hAnsi="Arial"/>
          <w:sz w:val="20"/>
        </w:rPr>
      </w:r>
    </w:p>
    <w:p>
      <w:pPr>
        <w:pStyle w:val="BodyMain"/>
        <w:spacing w:lineRule="auto" w:line="360"/>
        <w:rPr/>
      </w:pPr>
      <w:r>
        <w:rPr>
          <w:rFonts w:cs="Arial" w:ascii="Arial" w:hAnsi="Arial"/>
          <w:sz w:val="20"/>
        </w:rPr>
        <w:t xml:space="preserve">The primary product under review is the Electric Energy Services and Sales Agreement (“Agreement”), commonly referred to as the “Lincoln” product.  The Lincoln product is customized for each state, but consists of a generic template and a series of state specific provisions that are added to the template.  Currently, the Lincoln product is utilized with large customers who qualify as “eligible swap participants”.  EESI has indicated that it would like to provide the Lincoln product to industrial and commercial end-users that would </w:t>
      </w:r>
      <w:r>
        <w:rPr>
          <w:rFonts w:cs="Arial" w:ascii="Arial" w:hAnsi="Arial"/>
          <w:sz w:val="20"/>
          <w:u w:val="single"/>
        </w:rPr>
        <w:t>not</w:t>
      </w:r>
      <w:r>
        <w:rPr>
          <w:rFonts w:cs="Arial" w:ascii="Arial" w:hAnsi="Arial"/>
          <w:sz w:val="20"/>
        </w:rPr>
        <w:t xml:space="preserve"> qualify as eligible swap participants, but would be commercial users of Electricity and could, if requested, represent in the Agreement that they are commercial users of the Electricity subject to the Agreement and have has entered into the Agreement solely for non-speculative purposes related to their business as such and not with a view to resell Electricity.  EESI does not intend to provide the Lincoln product to members of the general public (e.g, residential customers or other individuals).</w:t>
      </w:r>
    </w:p>
    <w:p>
      <w:pPr>
        <w:pStyle w:val="BodyMain"/>
        <w:spacing w:lineRule="auto" w:line="360"/>
        <w:rPr>
          <w:rFonts w:ascii="Arial" w:hAnsi="Arial" w:cs="Arial"/>
          <w:sz w:val="20"/>
        </w:rPr>
      </w:pPr>
      <w:r>
        <w:rPr>
          <w:rFonts w:cs="Arial" w:ascii="Arial" w:hAnsi="Arial"/>
          <w:sz w:val="20"/>
        </w:rPr>
      </w:r>
    </w:p>
    <w:p>
      <w:pPr>
        <w:pStyle w:val="BodyMain"/>
        <w:spacing w:lineRule="auto" w:line="360"/>
        <w:rPr/>
      </w:pPr>
      <w:r>
        <w:rPr>
          <w:rFonts w:cs="Arial" w:ascii="Arial" w:hAnsi="Arial"/>
          <w:sz w:val="20"/>
        </w:rPr>
        <w:t>Under the Lincoln product, EESI arranges for the supply (either by the Utility or EESI) of the Customer’s full Electricity requirements at specified facilities (industrial plants or commercial buildings) and pays all Utility Invoices related to such electricity on behalf of commercial or industrial end-users.  The Customer would pay EESI the Contract Price, which is a predetermined amount (usually equal to a fixed percentage of what the Utility invoice for a Billing Cycle would have been had such invoice been calculated using the actual consumption and a specified Utility rate structure, frozen as of a specified date (a “</w:t>
      </w:r>
      <w:r>
        <w:rPr>
          <w:rFonts w:cs="Arial" w:ascii="Arial" w:hAnsi="Arial"/>
          <w:sz w:val="20"/>
          <w:u w:val="single"/>
        </w:rPr>
        <w:t>Benchmark Bundled Rate</w:t>
      </w:r>
      <w:r>
        <w:rPr>
          <w:rFonts w:cs="Arial" w:ascii="Arial" w:hAnsi="Arial"/>
          <w:sz w:val="20"/>
        </w:rPr>
        <w:t xml:space="preserve">”)), plus reimbursement for Special Facility Charges (facility or equipment rental charges and special contracts, products or other services not generally available to customers of the same rate class and type), plus any Taxes.  </w:t>
      </w:r>
    </w:p>
    <w:p>
      <w:pPr>
        <w:pStyle w:val="BodyMain"/>
        <w:spacing w:lineRule="auto" w:line="360"/>
        <w:rPr>
          <w:rFonts w:ascii="Arial" w:hAnsi="Arial" w:cs="Arial"/>
          <w:sz w:val="20"/>
        </w:rPr>
      </w:pPr>
      <w:r>
        <w:rPr>
          <w:rFonts w:cs="Arial" w:ascii="Arial" w:hAnsi="Arial"/>
          <w:sz w:val="20"/>
        </w:rPr>
      </w:r>
    </w:p>
    <w:p>
      <w:pPr>
        <w:pStyle w:val="BodyMain"/>
        <w:spacing w:lineRule="auto" w:line="360"/>
        <w:rPr>
          <w:rFonts w:ascii="Arial" w:hAnsi="Arial" w:cs="Arial"/>
          <w:sz w:val="20"/>
        </w:rPr>
      </w:pPr>
      <w:r>
        <w:rPr>
          <w:rFonts w:cs="Arial" w:ascii="Arial" w:hAnsi="Arial"/>
          <w:sz w:val="20"/>
        </w:rPr>
        <w:t xml:space="preserve">Unless EESI elects to deliver Electricity, Customer will receive its requirements from the Utility, but EESI may change the Utility rate classification, tariff and Billing Cycle from time to time, but must notify Customer of such change and secure Customer’s prior approval to switch to an “interruptible” service.  Customer does not have the right to require that EESI deliver Electricity, even if the Utility ceases to be the provider of last resort.  If EESI elects to deliver all or some of the Electricity, EESI would pay any fees imposed by the Utility as a result of the switch from Utility service to EESI, deliver the Electricity to the applicable Utility (point of title transfer to the Customer) and coordinate the subsequent transmission of the Electricity by the Utility to the Customer’s facility on behalf of Customer.  Upon exercise of its election to deliver, EESI’s obligation is only excused by Force Majeure, Customer’s failure to perform an obligation under the Agreement, or a Utility curtailment notice (utility or transmission/distribution provider curtailment or interruption order or similar notice requiring the curtailment or interruption of the Customer’s electricity usage at a Facility).  If EESI fails to deliver the applicable quantity of Electricity (other than due to the above reasons), EESI must pay any charges imposed by the Utility or a transmission/distribution provider that are directly related to such failure.  </w:t>
      </w:r>
    </w:p>
    <w:p>
      <w:pPr>
        <w:pStyle w:val="BodyMain"/>
        <w:spacing w:lineRule="auto" w:line="360"/>
        <w:rPr>
          <w:rFonts w:ascii="Arial" w:hAnsi="Arial" w:cs="Arial"/>
          <w:sz w:val="20"/>
        </w:rPr>
      </w:pPr>
      <w:r>
        <w:rPr>
          <w:rFonts w:cs="Arial" w:ascii="Arial" w:hAnsi="Arial"/>
          <w:sz w:val="20"/>
        </w:rPr>
      </w:r>
    </w:p>
    <w:p>
      <w:pPr>
        <w:pStyle w:val="BodyMain"/>
        <w:spacing w:lineRule="auto" w:line="360"/>
        <w:rPr/>
      </w:pPr>
      <w:r>
        <w:rPr>
          <w:rFonts w:cs="Arial" w:ascii="Arial" w:hAnsi="Arial"/>
          <w:sz w:val="20"/>
        </w:rPr>
        <w:t>The Contract Price is the same irrespective of the ultimate arrangement for delivery of Electricity (Utility (existing or modified) or EESI).  EESI is responsible for (and pays without reimbursement by Customer) any increases in the Utility Invoices that are due to any increase in any element in the Benchmark Bundled Rate and any late charges, interest or similar penalties imposed if EESI fails to timely pay the Utility Invoices.  EESI is entitled to retain all credits, refunds, rebates or similar adjustments due Customer (including fuel adjustments, “green” power credits, distribution charge or rate of return credit).  EESI maintains copies of all Utility Invoices for Customer’s inspection.  If in any year (usually after the 1</w:t>
      </w:r>
      <w:r>
        <w:rPr>
          <w:rFonts w:cs="Arial" w:ascii="Arial" w:hAnsi="Arial"/>
          <w:sz w:val="20"/>
          <w:vertAlign w:val="superscript"/>
        </w:rPr>
        <w:t>st</w:t>
      </w:r>
      <w:r>
        <w:rPr>
          <w:rFonts w:cs="Arial" w:ascii="Arial" w:hAnsi="Arial"/>
          <w:sz w:val="20"/>
        </w:rPr>
        <w:t xml:space="preserve"> year), customer’s actual Electricity usage is above or below a specified level, Customer is required to pay EESI an additional amount for each unit of excess or deficiency usage based upon the difference between the Contract Price and the Market Price during such year.</w:t>
      </w:r>
    </w:p>
    <w:p>
      <w:pPr>
        <w:pStyle w:val="BodyMain"/>
        <w:spacing w:lineRule="auto" w:line="360"/>
        <w:rPr>
          <w:rFonts w:ascii="Arial" w:hAnsi="Arial" w:cs="Arial"/>
          <w:sz w:val="20"/>
        </w:rPr>
      </w:pPr>
      <w:r>
        <w:rPr>
          <w:rFonts w:cs="Arial" w:ascii="Arial" w:hAnsi="Arial"/>
          <w:sz w:val="20"/>
        </w:rPr>
      </w:r>
    </w:p>
    <w:p>
      <w:pPr>
        <w:pStyle w:val="BodyMain"/>
        <w:spacing w:lineRule="auto" w:line="360"/>
        <w:rPr>
          <w:rFonts w:ascii="Arial" w:hAnsi="Arial" w:cs="Arial"/>
          <w:sz w:val="20"/>
        </w:rPr>
      </w:pPr>
      <w:r>
        <w:rPr>
          <w:rFonts w:cs="Arial" w:ascii="Arial" w:hAnsi="Arial"/>
          <w:sz w:val="20"/>
        </w:rPr>
        <w:t>Customer notifies the applicable Utility to forward all Utility Invoices to EESI and agrees to forward all Utility Invoices it receives to EESI within 3 business days; provides facility bill information; appoints EESI as its limited agent to perform the services described in the Agreement with authority to (a) obtain information with respect to Customer’s utility billing and credit history, usage, load shape, and similar data; (b) change the rate class and/or billing cycle; (c) pay Utility invoices, negotiate billing errors and obtain any adjustments (other than those related to changes in the billed quantity); and (d) notify or cause Customer to notify a Utility of termination or resumption of service, the rates thereof and designate EESI as its Competitive Supplier upon EESI’s election to deliver Electricity.  Customer is responsible for all connection fees (deposits, connection fees and metering charges payable to a Utility to establish or maintain service).</w:t>
      </w:r>
    </w:p>
    <w:p>
      <w:pPr>
        <w:pStyle w:val="BodyMain"/>
        <w:spacing w:lineRule="auto" w:line="360"/>
        <w:rPr>
          <w:rFonts w:ascii="Arial" w:hAnsi="Arial" w:cs="Arial"/>
          <w:sz w:val="20"/>
        </w:rPr>
      </w:pPr>
      <w:r>
        <w:rPr>
          <w:rFonts w:cs="Arial" w:ascii="Arial" w:hAnsi="Arial"/>
          <w:sz w:val="20"/>
        </w:rPr>
      </w:r>
    </w:p>
    <w:p>
      <w:pPr>
        <w:pStyle w:val="BodyMain"/>
        <w:spacing w:lineRule="auto" w:line="360"/>
        <w:rPr>
          <w:rFonts w:ascii="Arial" w:hAnsi="Arial" w:cs="Arial"/>
          <w:sz w:val="20"/>
        </w:rPr>
      </w:pPr>
      <w:r>
        <w:rPr>
          <w:rFonts w:cs="Arial" w:ascii="Arial" w:hAnsi="Arial"/>
          <w:sz w:val="20"/>
        </w:rPr>
        <w:t xml:space="preserve">There is no obligation or understanding between EESI and the Customer whereby EESI will repurchase the electricity from the Customer, nor will the customer enter into the transaction with a view to reselling any electricity received thereunder to EESI, an EESI affiliate, or a third party.  The Agreement provides for typical events of default and upon such an occurrence, the defaulting party would reimburse the non-defaulting party for an amount equal to the net of such party’s gains, costs, and losses.  The Agreement would terminate without obligation if EESI’s performance were to become illegal or in violation of the applicable rules or its activities become subject to increased regulation that renders the Agreement unenforceable or results in EESI being regulated as a public utility.  </w:t>
      </w:r>
    </w:p>
    <w:p>
      <w:pPr>
        <w:pStyle w:val="BodyMain"/>
        <w:spacing w:lineRule="auto" w:line="360"/>
        <w:rPr>
          <w:rFonts w:ascii="Arial" w:hAnsi="Arial" w:cs="Arial"/>
          <w:sz w:val="20"/>
        </w:rPr>
      </w:pPr>
      <w:r>
        <w:rPr>
          <w:rFonts w:cs="Arial" w:ascii="Arial" w:hAnsi="Arial"/>
          <w:sz w:val="20"/>
        </w:rPr>
      </w:r>
    </w:p>
    <w:p>
      <w:pPr>
        <w:pStyle w:val="Normal"/>
        <w:spacing w:lineRule="auto" w:line="360"/>
        <w:jc w:val="both"/>
        <w:rPr/>
      </w:pPr>
      <w:r>
        <w:rPr>
          <w:rFonts w:cs="Arial" w:ascii="Arial" w:hAnsi="Arial"/>
        </w:rPr>
        <w:t xml:space="preserve">The other product under review is the Commodity Management Agreement, commonly referred to as a “CMA”.  The CMA is customized for each Customer, but is initially based on a generic template.  Currently, the CMA is utilized with large customers who qualify as “eligible swap participants”.  EESI has indicated that it would like to provide the CMA to industrial and commercial end-users that would </w:t>
      </w:r>
      <w:r>
        <w:rPr>
          <w:rFonts w:cs="Arial" w:ascii="Arial" w:hAnsi="Arial"/>
          <w:u w:val="single"/>
        </w:rPr>
        <w:t>not</w:t>
      </w:r>
      <w:r>
        <w:rPr>
          <w:rFonts w:cs="Arial" w:ascii="Arial" w:hAnsi="Arial"/>
        </w:rPr>
        <w:t xml:space="preserve"> qualify as eligible swap participants, but would be commercial users of Electricity and Natural Gas(“Commodity”) and could, if requested, represent in the CMA that they are commercial users of the Commodity subject to the CMA and have has entered into the CMA solely for non-speculative purposes related to their business as such and not with a view to resell Commodity.  EESI does not intend to provide the CMA to members of the general public (e.g, residential customers or other individuals).</w:t>
      </w:r>
    </w:p>
    <w:p>
      <w:pPr>
        <w:pStyle w:val="Normal"/>
        <w:spacing w:lineRule="auto" w:line="360"/>
        <w:jc w:val="both"/>
        <w:rPr>
          <w:rFonts w:ascii="Arial" w:hAnsi="Arial" w:cs="Arial"/>
        </w:rPr>
      </w:pPr>
      <w:r>
        <w:rPr>
          <w:rFonts w:cs="Arial" w:ascii="Arial" w:hAnsi="Arial"/>
        </w:rPr>
      </w:r>
    </w:p>
    <w:p>
      <w:pPr>
        <w:pStyle w:val="Normal"/>
        <w:spacing w:lineRule="auto" w:line="360"/>
        <w:jc w:val="both"/>
        <w:rPr/>
      </w:pPr>
      <w:r>
        <w:rPr>
          <w:rFonts w:cs="Arial" w:ascii="Arial" w:hAnsi="Arial"/>
        </w:rPr>
        <w:t xml:space="preserve">The CMA is basically an expanded version of the “Lincoln” product with additional services and performance options.  Besides the basic services in the “Lincoln” product, the CMA allows EESI to secure third-party supplies of Commodity as part of its obligation to “arrange for delivery” and provide Utility Representation Services, such as, </w:t>
      </w:r>
      <w:r>
        <w:rPr>
          <w:rFonts w:cs="Arial" w:ascii="Arial" w:hAnsi="Arial"/>
          <w:color w:val="000000"/>
        </w:rPr>
        <w:t>evaluating the Rules governing the supply of Commodity to the Facilities by the Utilities serving such Facilities, analyzing existing rates, terms and conditions of distribution of the Commodity to the Facilities by the Utilities serving such Facilities, to the extent practicable, developing a strategy to reduce the Utility charges for distribution of Commodity to the Facilities; and consistent with the previous strategy, negotiating proposed business terms for Commodity service to such Facilities.</w:t>
      </w:r>
      <w:r>
        <w:rPr>
          <w:rFonts w:cs="Arial" w:ascii="Arial" w:hAnsi="Arial"/>
        </w:rPr>
        <w:t xml:space="preserve">  Additionally, the Contract Price generally is specifically tailor for the individual customer.</w:t>
      </w:r>
    </w:p>
    <w:sectPr>
      <w:type w:val="nextPage"/>
      <w:pgSz w:w="12240" w:h="15840"/>
      <w:pgMar w:left="1440" w:right="1440" w:gutter="0" w:header="0" w:top="1440" w:footer="0" w:bottom="1152"/>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Main">
    <w:name w:val="Body Main"/>
    <w:basedOn w:val="Normal"/>
    <w:qFormat/>
    <w:pPr>
      <w:spacing w:lineRule="exact" w:line="540"/>
      <w:ind w:firstLine="1440" w:start="0" w:end="0"/>
      <w:jc w:val="both"/>
    </w:pPr>
    <w:rPr>
      <w:sz w:val="24"/>
      <w:lang w:eastAsia="en-US"/>
    </w:rPr>
  </w:style>
  <w:style w:type="paragraph" w:styleId="HeadingLeft">
    <w:name w:val="Heading Left"/>
    <w:basedOn w:val="Normal"/>
    <w:qFormat/>
    <w:pPr>
      <w:keepNext w:val="true"/>
      <w:keepLines/>
      <w:spacing w:lineRule="exact" w:line="540"/>
    </w:pPr>
    <w:rPr>
      <w:sz w:val="24"/>
      <w:u w:val="single"/>
      <w:lang w:eastAsia="en-US"/>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56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2000-10-31T17:14:00Z</dcterms:created>
  <dc:creator>jkeller</dc:creator>
  <dc:description/>
  <dc:language>en-CA</dc:language>
  <cp:lastModifiedBy>jkeller</cp:lastModifiedBy>
  <cp:lastPrinted>2000-11-01T11:39:00Z</cp:lastPrinted>
  <dcterms:modified xsi:type="dcterms:W3CDTF">2000-11-01T21:12:00Z</dcterms:modified>
  <cp:revision>6</cp:revision>
  <dc:subject/>
  <dc:title>FACTS</dc:title>
</cp:coreProperties>
</file>