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35"/>
        <w:rPr>
          <w:rFonts w:ascii="CG Times" w:hAnsi="CG Times" w:eastAsia="CG Times" w:cs="CG Times"/>
          <w:sz w:val="23"/>
          <w:szCs w:val="23"/>
        </w:rPr>
      </w:pPr>
      <w:r>
        <w:rPr>
          <w:rFonts w:eastAsia="CG Times" w:cs="CG Times" w:ascii="CG Times" w:hAnsi="CG Times"/>
          <w:sz w:val="23"/>
          <w:szCs w:val="23"/>
        </w:rPr>
      </w:r>
      <w:r>
        <mc:AlternateContent>
          <mc:Choice Requires="wps">
            <w:drawing>
              <wp:anchor behindDoc="0" distT="0" distB="0" distL="0" distR="0" simplePos="0" locked="0" layoutInCell="0" allowOverlap="1" relativeHeight="2">
                <wp:simplePos x="0" y="0"/>
                <wp:positionH relativeFrom="page">
                  <wp:posOffset>823595</wp:posOffset>
                </wp:positionH>
                <wp:positionV relativeFrom="page">
                  <wp:posOffset>457835</wp:posOffset>
                </wp:positionV>
                <wp:extent cx="1160780" cy="995045"/>
                <wp:effectExtent l="0" t="0" r="0" b="0"/>
                <wp:wrapSquare wrapText="bothSides"/>
                <wp:docPr id="1" name="Frame1"/>
                <a:graphic xmlns:a="http://schemas.openxmlformats.org/drawingml/2006/main">
                  <a:graphicData uri="http://schemas.microsoft.com/office/word/2010/wordprocessingShape">
                    <wps:wsp>
                      <wps:cNvSpPr txBox="1"/>
                      <wps:spPr>
                        <a:xfrm>
                          <a:off x="0" y="0"/>
                          <a:ext cx="1160780" cy="995045"/>
                        </a:xfrm>
                        <a:prstGeom prst="rect"/>
                        <a:solidFill>
                          <a:srgbClr val="FFFFFF">
                            <a:alpha val="0"/>
                          </a:srgbClr>
                        </a:solidFill>
                      </wps:spPr>
                      <wps:txbx>
                        <w:txbxContent>
                          <w:p>
                            <w:pPr>
                              <w:pStyle w:val="Normal"/>
                              <w:rPr>
                                <w:sz w:val="24"/>
                                <w:szCs w:val="24"/>
                              </w:rPr>
                            </w:pPr>
                            <w:r>
                              <w:rPr/>
                              <w:drawing>
                                <wp:inline distT="0" distB="0" distL="0" distR="0">
                                  <wp:extent cx="7057390" cy="99504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tretch>
                                            <a:fillRect/>
                                          </a:stretch>
                                        </pic:blipFill>
                                        <pic:spPr bwMode="auto">
                                          <a:xfrm>
                                            <a:off x="0" y="0"/>
                                            <a:ext cx="7057390" cy="995045"/>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91.4pt;height:78.35pt;mso-wrap-distance-left:0pt;mso-wrap-distance-right:0pt;mso-wrap-distance-top:0pt;mso-wrap-distance-bottom:0pt;margin-top:36.05pt;mso-position-vertical-relative:page;margin-left:64.85pt;mso-position-horizontal-relative:page">
                <v:fill opacity="0f"/>
                <v:textbox inset="0in,0in,0in,0in">
                  <w:txbxContent>
                    <w:p>
                      <w:pPr>
                        <w:pStyle w:val="Normal"/>
                        <w:rPr>
                          <w:sz w:val="24"/>
                          <w:szCs w:val="24"/>
                        </w:rPr>
                      </w:pPr>
                      <w:r>
                        <w:rPr/>
                        <w:drawing>
                          <wp:inline distT="0" distB="0" distL="0" distR="0">
                            <wp:extent cx="7057390" cy="99504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tretch>
                                      <a:fillRect/>
                                    </a:stretch>
                                  </pic:blipFill>
                                  <pic:spPr bwMode="auto">
                                    <a:xfrm>
                                      <a:off x="0" y="0"/>
                                      <a:ext cx="7057390" cy="995045"/>
                                    </a:xfrm>
                                    <a:prstGeom prst="rect">
                                      <a:avLst/>
                                    </a:prstGeom>
                                    <a:noFill/>
                                  </pic:spPr>
                                </pic:pic>
                              </a:graphicData>
                            </a:graphic>
                          </wp:inline>
                        </w:drawing>
                      </w:r>
                    </w:p>
                  </w:txbxContent>
                </v:textbox>
                <w10:wrap type="square"/>
              </v:rect>
            </w:pict>
          </mc:Fallback>
        </mc:AlternateContent>
      </w:r>
      <w:r>
        <mc:AlternateContent>
          <mc:Choice Requires="wps">
            <w:drawing>
              <wp:anchor behindDoc="0" distT="0" distB="0" distL="0" distR="0" simplePos="0" locked="0" layoutInCell="0" allowOverlap="1" relativeHeight="4">
                <wp:simplePos x="0" y="0"/>
                <wp:positionH relativeFrom="page">
                  <wp:posOffset>4765040</wp:posOffset>
                </wp:positionH>
                <wp:positionV relativeFrom="page">
                  <wp:posOffset>714375</wp:posOffset>
                </wp:positionV>
                <wp:extent cx="1772920" cy="792480"/>
                <wp:effectExtent l="0" t="0" r="0" b="0"/>
                <wp:wrapSquare wrapText="bothSides"/>
                <wp:docPr id="4" name="Frame2"/>
                <a:graphic xmlns:a="http://schemas.openxmlformats.org/drawingml/2006/main">
                  <a:graphicData uri="http://schemas.microsoft.com/office/word/2010/wordprocessingShape">
                    <wps:wsp>
                      <wps:cNvSpPr txBox="1"/>
                      <wps:spPr>
                        <a:xfrm>
                          <a:off x="0" y="0"/>
                          <a:ext cx="1772920" cy="792480"/>
                        </a:xfrm>
                        <a:prstGeom prst="rect"/>
                        <a:solidFill>
                          <a:srgbClr val="FFFFFF">
                            <a:alpha val="0"/>
                          </a:srgbClr>
                        </a:solidFill>
                      </wps:spPr>
                      <wps:txbx>
                        <w:txbxContent>
                          <w:p>
                            <w:pPr>
                              <w:pStyle w:val="Normal"/>
                              <w:spacing w:lineRule="exact" w:line="235"/>
                              <w:rPr>
                                <w:rFonts w:ascii="CG Times" w:hAnsi="CG Times" w:eastAsia="CG Times" w:cs="CG Times"/>
                                <w:sz w:val="15"/>
                                <w:szCs w:val="15"/>
                              </w:rPr>
                            </w:pPr>
                            <w:r>
                              <w:rPr>
                                <w:rFonts w:eastAsia="CG Times" w:cs="CG Times" w:ascii="CG Times" w:hAnsi="CG Times"/>
                                <w:sz w:val="15"/>
                                <w:szCs w:val="15"/>
                              </w:rPr>
                              <w:t>A PROFESSIONAL CORPORATION</w:t>
                            </w:r>
                          </w:p>
                          <w:p>
                            <w:pPr>
                              <w:pStyle w:val="Normal"/>
                              <w:spacing w:lineRule="exact" w:line="235"/>
                              <w:rPr>
                                <w:rFonts w:ascii="CG Times" w:hAnsi="CG Times" w:eastAsia="CG Times" w:cs="CG Times"/>
                                <w:sz w:val="15"/>
                                <w:szCs w:val="15"/>
                              </w:rPr>
                            </w:pPr>
                            <w:r>
                              <w:rPr>
                                <w:rFonts w:eastAsia="CG Times" w:cs="CG Times" w:ascii="CG Times" w:hAnsi="CG Times"/>
                                <w:sz w:val="15"/>
                                <w:szCs w:val="15"/>
                              </w:rPr>
                              <w:t>1050 Thomas Jefferson Street N.W.</w:t>
                            </w:r>
                          </w:p>
                          <w:p>
                            <w:pPr>
                              <w:pStyle w:val="Normal"/>
                              <w:spacing w:lineRule="exact" w:line="235"/>
                              <w:rPr>
                                <w:rFonts w:ascii="CG Times" w:hAnsi="CG Times" w:eastAsia="CG Times" w:cs="CG Times"/>
                                <w:sz w:val="15"/>
                                <w:szCs w:val="15"/>
                              </w:rPr>
                            </w:pPr>
                            <w:r>
                              <w:rPr>
                                <w:rFonts w:eastAsia="CG Times" w:cs="CG Times" w:ascii="CG Times" w:hAnsi="CG Times"/>
                                <w:sz w:val="15"/>
                                <w:szCs w:val="15"/>
                              </w:rPr>
                              <w:t>Washington, D.C. 20007-3877</w:t>
                            </w:r>
                          </w:p>
                          <w:p>
                            <w:pPr>
                              <w:pStyle w:val="Normal"/>
                              <w:spacing w:lineRule="exact" w:line="235"/>
                              <w:rPr>
                                <w:rFonts w:ascii="CG Times" w:hAnsi="CG Times" w:eastAsia="CG Times" w:cs="CG Times"/>
                                <w:sz w:val="15"/>
                                <w:szCs w:val="15"/>
                              </w:rPr>
                            </w:pPr>
                            <w:r>
                              <w:rPr>
                                <w:rFonts w:eastAsia="CG Times" w:cs="CG Times" w:ascii="CG Times" w:hAnsi="CG Times"/>
                                <w:sz w:val="15"/>
                                <w:szCs w:val="15"/>
                              </w:rPr>
                              <w:t>(202) 298-1800 Fax (202) 338-2416</w:t>
                            </w:r>
                          </w:p>
                          <w:p>
                            <w:pPr>
                              <w:pStyle w:val="Normal"/>
                              <w:spacing w:lineRule="exact" w:line="235"/>
                              <w:rPr>
                                <w:rFonts w:ascii="CG Times" w:hAnsi="CG Times" w:eastAsia="CG Times" w:cs="CG Times"/>
                                <w:sz w:val="15"/>
                                <w:szCs w:val="15"/>
                              </w:rPr>
                            </w:pPr>
                            <w:r>
                              <w:rPr>
                                <w:rFonts w:eastAsia="CG Times" w:cs="CG Times" w:ascii="CG Times" w:hAnsi="CG Times"/>
                                <w:sz w:val="15"/>
                                <w:szCs w:val="15"/>
                              </w:rPr>
                              <w:t>www.vnf.com</w:t>
                            </w:r>
                          </w:p>
                        </w:txbxContent>
                      </wps:txbx>
                      <wps:bodyPr anchor="t" lIns="0" tIns="0" rIns="0" bIns="0">
                        <a:noAutofit/>
                      </wps:bodyPr>
                    </wps:wsp>
                  </a:graphicData>
                </a:graphic>
              </wp:anchor>
            </w:drawing>
          </mc:Choice>
          <mc:Fallback>
            <w:pict>
              <v:rect fillcolor="#FFFFFF" style="position:absolute;rotation:-0;width:139.6pt;height:62.4pt;mso-wrap-distance-left:0pt;mso-wrap-distance-right:0pt;mso-wrap-distance-top:0pt;mso-wrap-distance-bottom:0pt;margin-top:56.25pt;mso-position-vertical-relative:page;margin-left:375.2pt;mso-position-horizontal-relative:page">
                <v:fill opacity="0f"/>
                <v:textbox inset="0in,0in,0in,0in">
                  <w:txbxContent>
                    <w:p>
                      <w:pPr>
                        <w:pStyle w:val="Normal"/>
                        <w:spacing w:lineRule="exact" w:line="235"/>
                        <w:rPr>
                          <w:rFonts w:ascii="CG Times" w:hAnsi="CG Times" w:eastAsia="CG Times" w:cs="CG Times"/>
                          <w:sz w:val="15"/>
                          <w:szCs w:val="15"/>
                        </w:rPr>
                      </w:pPr>
                      <w:r>
                        <w:rPr>
                          <w:rFonts w:eastAsia="CG Times" w:cs="CG Times" w:ascii="CG Times" w:hAnsi="CG Times"/>
                          <w:sz w:val="15"/>
                          <w:szCs w:val="15"/>
                        </w:rPr>
                        <w:t>A PROFESSIONAL CORPORATION</w:t>
                      </w:r>
                    </w:p>
                    <w:p>
                      <w:pPr>
                        <w:pStyle w:val="Normal"/>
                        <w:spacing w:lineRule="exact" w:line="235"/>
                        <w:rPr>
                          <w:rFonts w:ascii="CG Times" w:hAnsi="CG Times" w:eastAsia="CG Times" w:cs="CG Times"/>
                          <w:sz w:val="15"/>
                          <w:szCs w:val="15"/>
                        </w:rPr>
                      </w:pPr>
                      <w:r>
                        <w:rPr>
                          <w:rFonts w:eastAsia="CG Times" w:cs="CG Times" w:ascii="CG Times" w:hAnsi="CG Times"/>
                          <w:sz w:val="15"/>
                          <w:szCs w:val="15"/>
                        </w:rPr>
                        <w:t>1050 Thomas Jefferson Street N.W.</w:t>
                      </w:r>
                    </w:p>
                    <w:p>
                      <w:pPr>
                        <w:pStyle w:val="Normal"/>
                        <w:spacing w:lineRule="exact" w:line="235"/>
                        <w:rPr>
                          <w:rFonts w:ascii="CG Times" w:hAnsi="CG Times" w:eastAsia="CG Times" w:cs="CG Times"/>
                          <w:sz w:val="15"/>
                          <w:szCs w:val="15"/>
                        </w:rPr>
                      </w:pPr>
                      <w:r>
                        <w:rPr>
                          <w:rFonts w:eastAsia="CG Times" w:cs="CG Times" w:ascii="CG Times" w:hAnsi="CG Times"/>
                          <w:sz w:val="15"/>
                          <w:szCs w:val="15"/>
                        </w:rPr>
                        <w:t>Washington, D.C. 20007-3877</w:t>
                      </w:r>
                    </w:p>
                    <w:p>
                      <w:pPr>
                        <w:pStyle w:val="Normal"/>
                        <w:spacing w:lineRule="exact" w:line="235"/>
                        <w:rPr>
                          <w:rFonts w:ascii="CG Times" w:hAnsi="CG Times" w:eastAsia="CG Times" w:cs="CG Times"/>
                          <w:sz w:val="15"/>
                          <w:szCs w:val="15"/>
                        </w:rPr>
                      </w:pPr>
                      <w:r>
                        <w:rPr>
                          <w:rFonts w:eastAsia="CG Times" w:cs="CG Times" w:ascii="CG Times" w:hAnsi="CG Times"/>
                          <w:sz w:val="15"/>
                          <w:szCs w:val="15"/>
                        </w:rPr>
                        <w:t>(202) 298-1800 Fax (202) 338-2416</w:t>
                      </w:r>
                    </w:p>
                    <w:p>
                      <w:pPr>
                        <w:pStyle w:val="Normal"/>
                        <w:spacing w:lineRule="exact" w:line="235"/>
                        <w:rPr>
                          <w:rFonts w:ascii="CG Times" w:hAnsi="CG Times" w:eastAsia="CG Times" w:cs="CG Times"/>
                          <w:sz w:val="15"/>
                          <w:szCs w:val="15"/>
                        </w:rPr>
                      </w:pPr>
                      <w:r>
                        <w:rPr>
                          <w:rFonts w:eastAsia="CG Times" w:cs="CG Times" w:ascii="CG Times" w:hAnsi="CG Times"/>
                          <w:sz w:val="15"/>
                          <w:szCs w:val="15"/>
                        </w:rPr>
                        <w:t>www.vnf.com</w:t>
                      </w:r>
                    </w:p>
                  </w:txbxContent>
                </v:textbox>
                <w10:wrap type="square"/>
              </v:rect>
            </w:pict>
          </mc:Fallback>
        </mc:AlternateContent>
      </w:r>
    </w:p>
    <w:p>
      <w:pPr>
        <w:pStyle w:val="Normal"/>
        <w:spacing w:lineRule="exact" w:line="235"/>
        <w:ind w:start="1440" w:end="0"/>
        <w:rPr>
          <w:rFonts w:ascii="CG Times" w:hAnsi="CG Times" w:eastAsia="CG Times" w:cs="CG Times"/>
          <w:sz w:val="23"/>
          <w:szCs w:val="23"/>
        </w:rPr>
      </w:pPr>
      <w:r>
        <w:rPr>
          <w:rFonts w:eastAsia="CG Times" w:cs="CG Times" w:ascii="CG Times" w:hAnsi="CG Times"/>
          <w:sz w:val="23"/>
          <w:szCs w:val="23"/>
        </w:rPr>
      </w:r>
    </w:p>
    <w:p>
      <w:pPr>
        <w:pStyle w:val="Normal"/>
        <w:spacing w:lineRule="exact" w:line="235"/>
        <w:rPr>
          <w:rFonts w:ascii="CG Times" w:hAnsi="CG Times" w:eastAsia="CG Times" w:cs="CG Times"/>
          <w:sz w:val="23"/>
          <w:szCs w:val="23"/>
        </w:rPr>
      </w:pPr>
      <w:r>
        <w:rPr>
          <w:rFonts w:eastAsia="CG Times" w:cs="CG Times" w:ascii="CG Times" w:hAnsi="CG Times"/>
          <w:sz w:val="23"/>
          <w:szCs w:val="23"/>
        </w:rPr>
      </w:r>
    </w:p>
    <w:p>
      <w:pPr>
        <w:pStyle w:val="Normal"/>
        <w:spacing w:lineRule="exact" w:line="235"/>
        <w:rPr>
          <w:rFonts w:ascii="CG Times" w:hAnsi="CG Times" w:eastAsia="CG Times" w:cs="CG Times"/>
          <w:sz w:val="23"/>
          <w:szCs w:val="23"/>
        </w:rPr>
      </w:pPr>
      <w:r>
        <w:rPr>
          <w:rFonts w:eastAsia="CG Times" w:cs="CG Times" w:ascii="CG Times" w:hAnsi="CG Times"/>
          <w:sz w:val="23"/>
          <w:szCs w:val="23"/>
        </w:rPr>
      </w:r>
    </w:p>
    <w:p>
      <w:pPr>
        <w:pStyle w:val="Normal"/>
        <w:spacing w:lineRule="exact" w:line="235"/>
        <w:rPr>
          <w:rFonts w:ascii="CG Times" w:hAnsi="CG Times" w:eastAsia="CG Times" w:cs="CG Times"/>
          <w:sz w:val="23"/>
          <w:szCs w:val="23"/>
        </w:rPr>
      </w:pPr>
      <w:r>
        <w:rPr>
          <w:rFonts w:eastAsia="CG Times" w:cs="CG Times" w:ascii="CG Times" w:hAnsi="CG Times"/>
          <w:sz w:val="23"/>
          <w:szCs w:val="23"/>
        </w:rPr>
      </w:r>
    </w:p>
    <w:p>
      <w:pPr>
        <w:pStyle w:val="Normal"/>
        <w:spacing w:lineRule="exact" w:line="235"/>
        <w:rPr>
          <w:rFonts w:ascii="CG Times" w:hAnsi="CG Times" w:eastAsia="CG Times" w:cs="CG Times"/>
          <w:sz w:val="23"/>
          <w:szCs w:val="23"/>
        </w:rPr>
      </w:pPr>
      <w:r>
        <w:rPr>
          <w:rFonts w:eastAsia="CG Times" w:cs="CG Times" w:ascii="CG Times" w:hAnsi="CG Times"/>
          <w:sz w:val="23"/>
          <w:szCs w:val="23"/>
        </w:rPr>
      </w:r>
    </w:p>
    <w:p>
      <w:pPr>
        <w:pStyle w:val="Normal"/>
        <w:spacing w:lineRule="exact" w:line="235"/>
        <w:jc w:val="center"/>
        <w:rPr>
          <w:rFonts w:ascii="CG Times" w:hAnsi="CG Times" w:eastAsia="CG Times" w:cs="CG Times"/>
          <w:sz w:val="23"/>
          <w:szCs w:val="23"/>
        </w:rPr>
      </w:pPr>
      <w:r>
        <w:rPr>
          <w:rFonts w:eastAsia="CG Times" w:cs="CG Times" w:ascii="CG Times" w:hAnsi="CG Times"/>
          <w:sz w:val="23"/>
          <w:szCs w:val="23"/>
        </w:rPr>
        <w:t>January 12, 2001</w:t>
      </w:r>
    </w:p>
    <w:p>
      <w:pPr>
        <w:pStyle w:val="Normal"/>
        <w:spacing w:lineRule="exact" w:line="235"/>
        <w:rPr>
          <w:rFonts w:ascii="CG Times" w:hAnsi="CG Times" w:eastAsia="CG Times" w:cs="CG Times"/>
          <w:sz w:val="23"/>
          <w:szCs w:val="23"/>
        </w:rPr>
      </w:pPr>
      <w:r>
        <w:rPr>
          <w:rFonts w:eastAsia="CG Times" w:cs="CG Times" w:ascii="CG Times" w:hAnsi="CG Times"/>
          <w:sz w:val="23"/>
          <w:szCs w:val="23"/>
        </w:rPr>
      </w:r>
    </w:p>
    <w:p>
      <w:pPr>
        <w:pStyle w:val="Normal"/>
        <w:spacing w:lineRule="exact" w:line="235"/>
        <w:rPr>
          <w:rFonts w:ascii="CG Times" w:hAnsi="CG Times" w:eastAsia="CG Times" w:cs="CG Times"/>
          <w:sz w:val="23"/>
          <w:szCs w:val="23"/>
        </w:rPr>
      </w:pPr>
      <w:r>
        <w:rPr>
          <w:rFonts w:eastAsia="CG Times" w:cs="CG Times" w:ascii="CG Times" w:hAnsi="CG Times"/>
          <w:sz w:val="23"/>
          <w:szCs w:val="23"/>
        </w:rPr>
      </w:r>
    </w:p>
    <w:p>
      <w:pPr>
        <w:pStyle w:val="Normal"/>
        <w:spacing w:lineRule="exact" w:line="235"/>
        <w:rPr>
          <w:rFonts w:ascii="CG Times" w:hAnsi="CG Times" w:eastAsia="CG Times" w:cs="CG Times"/>
          <w:sz w:val="23"/>
          <w:szCs w:val="23"/>
        </w:rPr>
      </w:pPr>
      <w:r>
        <w:rPr>
          <w:rFonts w:eastAsia="CG Times" w:cs="CG Times" w:ascii="CG Times" w:hAnsi="CG Times"/>
          <w:sz w:val="23"/>
          <w:szCs w:val="23"/>
        </w:rPr>
      </w:r>
    </w:p>
    <w:p>
      <w:pPr>
        <w:pStyle w:val="Normal"/>
        <w:spacing w:lineRule="exact" w:line="235"/>
        <w:jc w:val="center"/>
        <w:rPr>
          <w:rFonts w:ascii="CG Times" w:hAnsi="CG Times" w:eastAsia="CG Times" w:cs="CG Times"/>
          <w:b/>
          <w:bCs/>
          <w:sz w:val="23"/>
          <w:szCs w:val="23"/>
          <w:u w:val="single"/>
        </w:rPr>
      </w:pPr>
      <w:r>
        <w:rPr>
          <w:rFonts w:eastAsia="CG Times" w:cs="CG Times" w:ascii="CG Times" w:hAnsi="CG Times"/>
          <w:b/>
          <w:bCs/>
          <w:sz w:val="23"/>
          <w:szCs w:val="23"/>
          <w:u w:val="single"/>
        </w:rPr>
        <w:t>SUPREME COURT STRIKES DOWN FEDERAL JURISDICTION</w:t>
      </w:r>
    </w:p>
    <w:p>
      <w:pPr>
        <w:pStyle w:val="Normal"/>
        <w:spacing w:lineRule="exact" w:line="235"/>
        <w:jc w:val="center"/>
        <w:rPr>
          <w:rFonts w:ascii="CG Times" w:hAnsi="CG Times" w:eastAsia="CG Times" w:cs="CG Times"/>
          <w:sz w:val="23"/>
          <w:szCs w:val="23"/>
        </w:rPr>
      </w:pPr>
      <w:r>
        <w:rPr>
          <w:rFonts w:eastAsia="CG Times" w:cs="CG Times" w:ascii="CG Times" w:hAnsi="CG Times"/>
          <w:b/>
          <w:bCs/>
          <w:sz w:val="23"/>
          <w:szCs w:val="23"/>
          <w:u w:val="single"/>
        </w:rPr>
        <w:t>OVER ISOLATED WATERS</w:t>
      </w:r>
    </w:p>
    <w:p>
      <w:pPr>
        <w:pStyle w:val="Normal"/>
        <w:spacing w:lineRule="exact" w:line="235"/>
        <w:rPr>
          <w:rFonts w:ascii="CG Times" w:hAnsi="CG Times" w:eastAsia="CG Times" w:cs="CG Times"/>
          <w:sz w:val="23"/>
          <w:szCs w:val="23"/>
        </w:rPr>
      </w:pPr>
      <w:r>
        <w:rPr>
          <w:rFonts w:eastAsia="CG Times" w:cs="CG Times" w:ascii="CG Times" w:hAnsi="CG Times"/>
          <w:sz w:val="23"/>
          <w:szCs w:val="23"/>
        </w:rPr>
      </w:r>
    </w:p>
    <w:p>
      <w:pPr>
        <w:pStyle w:val="Normal"/>
        <w:spacing w:lineRule="exact" w:line="235"/>
        <w:rPr/>
      </w:pPr>
      <w:r>
        <w:rPr>
          <w:rFonts w:eastAsia="CG Times" w:cs="CG Times" w:ascii="CG Times" w:hAnsi="CG Times"/>
          <w:sz w:val="23"/>
          <w:szCs w:val="23"/>
        </w:rPr>
        <w:tab/>
        <w:t xml:space="preserve">The United States Supreme Court on January 9th ruled 5-4 that federal authority under the Clean Water Act (CWA) does not extend to isolated waters.  </w:t>
      </w:r>
      <w:r>
        <w:rPr>
          <w:rFonts w:eastAsia="CG Times" w:cs="CG Times" w:ascii="CG Times" w:hAnsi="CG Times"/>
          <w:sz w:val="23"/>
          <w:szCs w:val="23"/>
          <w:u w:val="single"/>
        </w:rPr>
        <w:t>Solid Waste Agency of Northern Cook County v. U.S. Army Corps of Engineers</w:t>
      </w:r>
      <w:r>
        <w:rPr>
          <w:rFonts w:eastAsia="CG Times" w:cs="CG Times" w:ascii="CG Times" w:hAnsi="CG Times"/>
          <w:sz w:val="23"/>
          <w:szCs w:val="23"/>
        </w:rPr>
        <w:t xml:space="preserve">, No. 99-1178 (U.S. January 9, 2001).  The Court’s decision, which dealt specifically with the Section 404 permitting program under the CWA, effectively leaves the protection of isolated waters to state and local governments.  “Isolated” waters are those waters, including wetlands, that are not connected or adjacent to interstate or navigable waters.  </w:t>
      </w:r>
    </w:p>
    <w:p>
      <w:pPr>
        <w:pStyle w:val="Normal"/>
        <w:spacing w:lineRule="exact" w:line="235"/>
        <w:rPr>
          <w:rFonts w:ascii="CG Times" w:hAnsi="CG Times" w:eastAsia="CG Times" w:cs="CG Times"/>
          <w:sz w:val="23"/>
          <w:szCs w:val="23"/>
        </w:rPr>
      </w:pPr>
      <w:r>
        <w:rPr>
          <w:rFonts w:eastAsia="CG Times" w:cs="CG Times" w:ascii="CG Times" w:hAnsi="CG Times"/>
          <w:sz w:val="23"/>
          <w:szCs w:val="23"/>
        </w:rPr>
      </w:r>
    </w:p>
    <w:p>
      <w:pPr>
        <w:pStyle w:val="Normal"/>
        <w:spacing w:lineRule="exact" w:line="235"/>
        <w:rPr>
          <w:rFonts w:ascii="CG Times" w:hAnsi="CG Times" w:eastAsia="CG Times" w:cs="CG Times"/>
          <w:sz w:val="23"/>
          <w:szCs w:val="23"/>
        </w:rPr>
      </w:pPr>
      <w:r>
        <w:rPr>
          <w:rFonts w:eastAsia="CG Times" w:cs="CG Times" w:ascii="CG Times" w:hAnsi="CG Times"/>
          <w:sz w:val="23"/>
          <w:szCs w:val="23"/>
        </w:rPr>
        <w:tab/>
        <w:t>The Court’s decision has important implications for municipalities, mining companies, utilities, developers and others seeking to conduct activities in such waters.  The U.S. Army Corps of Engineers is expected to issue guidance on the decision to its field offices prior to January 20, 2001.  The decision, however, appears to eliminate from CWA jurisdiction isolated waters and wetlands such as prairie potholes, vernal pools, and ponds.   The Court’s decision has implications for other environmental statutes, as well as congressional action, as discussed below.</w:t>
      </w:r>
    </w:p>
    <w:p>
      <w:pPr>
        <w:pStyle w:val="Normal"/>
        <w:spacing w:lineRule="exact" w:line="235"/>
        <w:rPr>
          <w:rFonts w:ascii="CG Times" w:hAnsi="CG Times" w:eastAsia="CG Times" w:cs="CG Times"/>
          <w:sz w:val="23"/>
          <w:szCs w:val="23"/>
        </w:rPr>
      </w:pPr>
      <w:r>
        <w:rPr>
          <w:rFonts w:eastAsia="CG Times" w:cs="CG Times" w:ascii="CG Times" w:hAnsi="CG Times"/>
          <w:sz w:val="23"/>
          <w:szCs w:val="23"/>
        </w:rPr>
      </w:r>
    </w:p>
    <w:p>
      <w:pPr>
        <w:pStyle w:val="Normal"/>
        <w:spacing w:lineRule="exact" w:line="235"/>
        <w:ind w:start="720" w:end="0"/>
        <w:rPr>
          <w:rFonts w:ascii="CG Times" w:hAnsi="CG Times" w:eastAsia="CG Times" w:cs="CG Times"/>
          <w:sz w:val="23"/>
          <w:szCs w:val="23"/>
        </w:rPr>
      </w:pPr>
      <w:r>
        <w:rPr>
          <w:rFonts w:eastAsia="CG Times" w:cs="CG Times" w:ascii="CG Times" w:hAnsi="CG Times"/>
          <w:b/>
          <w:bCs/>
          <w:sz w:val="23"/>
          <w:szCs w:val="23"/>
          <w:u w:val="single"/>
        </w:rPr>
        <w:t>The Decision</w:t>
      </w:r>
    </w:p>
    <w:p>
      <w:pPr>
        <w:pStyle w:val="Normal"/>
        <w:spacing w:lineRule="exact" w:line="235"/>
        <w:rPr>
          <w:rFonts w:ascii="CG Times" w:hAnsi="CG Times" w:eastAsia="CG Times" w:cs="CG Times"/>
          <w:sz w:val="23"/>
          <w:szCs w:val="23"/>
        </w:rPr>
      </w:pPr>
      <w:r>
        <w:rPr>
          <w:rFonts w:eastAsia="CG Times" w:cs="CG Times" w:ascii="CG Times" w:hAnsi="CG Times"/>
          <w:sz w:val="23"/>
          <w:szCs w:val="23"/>
        </w:rPr>
      </w:r>
    </w:p>
    <w:p>
      <w:pPr>
        <w:pStyle w:val="Normal"/>
        <w:spacing w:lineRule="exact" w:line="235"/>
        <w:rPr>
          <w:rFonts w:ascii="CG Times" w:hAnsi="CG Times" w:eastAsia="CG Times" w:cs="CG Times"/>
          <w:sz w:val="23"/>
          <w:szCs w:val="23"/>
        </w:rPr>
      </w:pPr>
      <w:r>
        <w:rPr>
          <w:rFonts w:eastAsia="CG Times" w:cs="CG Times" w:ascii="CG Times" w:hAnsi="CG Times"/>
          <w:sz w:val="23"/>
          <w:szCs w:val="23"/>
        </w:rPr>
        <w:tab/>
        <w:t>The case was brought by a group of 23 Illinois municipalities that organized themselves into a municipal corporation known as the Solid Waste Agency of Northern Cook County.  SWANCC purchased a 533 acre site for disposing of baled nonhazardous solid waste, but the Corps denied the permit required under Section 404 of the CWA to fill 17.6 acres of small, seasonal ponds (isolated waters).  SWANCC then sought judicial review in the federal courts of the denial of the permit by the Corps.</w:t>
      </w:r>
    </w:p>
    <w:p>
      <w:pPr>
        <w:pStyle w:val="Normal"/>
        <w:spacing w:lineRule="exact" w:line="235"/>
        <w:rPr>
          <w:rFonts w:ascii="CG Times" w:hAnsi="CG Times" w:eastAsia="CG Times" w:cs="CG Times"/>
          <w:sz w:val="23"/>
          <w:szCs w:val="23"/>
        </w:rPr>
      </w:pPr>
      <w:r>
        <w:rPr>
          <w:rFonts w:eastAsia="CG Times" w:cs="CG Times" w:ascii="CG Times" w:hAnsi="CG Times"/>
          <w:sz w:val="23"/>
          <w:szCs w:val="23"/>
        </w:rPr>
      </w:r>
    </w:p>
    <w:p>
      <w:pPr>
        <w:sectPr>
          <w:footerReference w:type="default" r:id="rId4"/>
          <w:footerReference w:type="first" r:id="rId5"/>
          <w:type w:val="nextPage"/>
          <w:pgSz w:w="12240" w:h="15840"/>
          <w:pgMar w:left="1440" w:right="1440" w:gutter="0" w:header="0" w:top="1440" w:footer="1920" w:bottom="1976"/>
          <w:pgNumType w:fmt="decimal"/>
          <w:formProt w:val="false"/>
          <w:titlePg/>
          <w:textDirection w:val="lrTb"/>
        </w:sectPr>
      </w:pPr>
    </w:p>
    <w:p>
      <w:pPr>
        <w:pStyle w:val="Normal"/>
        <w:spacing w:lineRule="exact" w:line="235"/>
        <w:rPr>
          <w:rFonts w:ascii="CG Times" w:hAnsi="CG Times" w:eastAsia="CG Times" w:cs="CG Times"/>
          <w:sz w:val="23"/>
          <w:szCs w:val="23"/>
        </w:rPr>
      </w:pPr>
      <w:r>
        <w:rPr>
          <w:rFonts w:eastAsia="CG Times" w:cs="CG Times" w:ascii="CG Times" w:hAnsi="CG Times"/>
          <w:sz w:val="23"/>
          <w:szCs w:val="23"/>
        </w:rPr>
        <w:tab/>
        <w:t>Section 404 of the Clean Water Act requires a permit for the discharge of dredged or fill material into “navigable waters.”  Section 502(7) of the Act defines “navigable waters” as “waters of the United States, including the territorial seas.”  Under Corps regulations, "waters of the United States" include not only interstate and traditionally navigable waters and their adjacent wetlands, but all other waters, including intrastate lakes, streams and wetlands, "the use, degradation or destruction of which could affect interstate commerce."  33 C.F.R. § 328.3(a)(3).   The Corps asserted jurisdiction over the site chosen by SWANCC on grounds that use of the area as habitat for migratory birds established the necessary connection to interstate commerce under Corps regulations.</w:t>
      </w:r>
    </w:p>
    <w:p>
      <w:pPr>
        <w:pStyle w:val="Normal"/>
        <w:spacing w:lineRule="exact" w:line="235"/>
        <w:rPr>
          <w:rFonts w:ascii="CG Times" w:hAnsi="CG Times" w:eastAsia="CG Times" w:cs="CG Times"/>
          <w:sz w:val="23"/>
          <w:szCs w:val="23"/>
        </w:rPr>
      </w:pPr>
      <w:r>
        <w:rPr>
          <w:rFonts w:eastAsia="CG Times" w:cs="CG Times" w:ascii="CG Times" w:hAnsi="CG Times"/>
          <w:sz w:val="23"/>
          <w:szCs w:val="23"/>
        </w:rPr>
      </w:r>
    </w:p>
    <w:p>
      <w:pPr>
        <w:pStyle w:val="Normal"/>
        <w:spacing w:lineRule="exact" w:line="235"/>
        <w:rPr>
          <w:rFonts w:ascii="CG Times" w:hAnsi="CG Times" w:eastAsia="CG Times" w:cs="CG Times"/>
          <w:sz w:val="23"/>
          <w:szCs w:val="23"/>
        </w:rPr>
      </w:pPr>
      <w:r>
        <w:rPr>
          <w:rFonts w:eastAsia="CG Times" w:cs="CG Times" w:ascii="CG Times" w:hAnsi="CG Times"/>
          <w:sz w:val="23"/>
          <w:szCs w:val="23"/>
        </w:rPr>
        <w:tab/>
        <w:t>The Court held that the Corps’ assertion of jurisdiction over isolated waters on the basis of the “migratory bird rule” exceeds the authority granted under Section 404(a) of the CWA.  The Court based its decision on the CWA alone, thereby avoiding the constitutional question of whether the regulation was within Congress’ power under the Commerce Clause.</w:t>
      </w:r>
    </w:p>
    <w:p>
      <w:pPr>
        <w:sectPr>
          <w:type w:val="continuous"/>
          <w:pgSz w:w="12240" w:h="15840"/>
          <w:pgMar w:left="1440" w:right="1440" w:gutter="0" w:header="0" w:top="1440" w:footer="1920" w:bottom="1976"/>
          <w:formProt w:val="false"/>
          <w:titlePg/>
          <w:textDirection w:val="lrTb"/>
        </w:sectPr>
      </w:pPr>
    </w:p>
    <w:p>
      <w:pPr>
        <w:pStyle w:val="Normal"/>
        <w:spacing w:lineRule="exact" w:line="235"/>
        <w:rPr>
          <w:rFonts w:ascii="CG Times" w:hAnsi="CG Times" w:eastAsia="CG Times" w:cs="CG Times"/>
          <w:sz w:val="23"/>
          <w:szCs w:val="23"/>
        </w:rPr>
      </w:pPr>
      <w:r>
        <w:rPr>
          <w:rFonts w:eastAsia="CG Times" w:cs="CG Times" w:ascii="CG Times" w:hAnsi="CG Times"/>
          <w:sz w:val="23"/>
          <w:szCs w:val="23"/>
        </w:rPr>
      </w:r>
    </w:p>
    <w:p>
      <w:pPr>
        <w:pStyle w:val="Normal"/>
        <w:spacing w:lineRule="exact" w:line="235"/>
        <w:rPr/>
      </w:pPr>
      <w:r>
        <w:rPr>
          <w:rFonts w:eastAsia="CG Times" w:cs="CG Times" w:ascii="CG Times" w:hAnsi="CG Times"/>
          <w:sz w:val="23"/>
          <w:szCs w:val="23"/>
        </w:rPr>
        <w:tab/>
        <w:t xml:space="preserve">The Court held that the agencies’ expansive definition of the term “waters  of the United States” was so broad that the word “navigable” was effectively eliminated from the statutory term, “navigable waters.” The term “navigable,” according to the Court, demonstrates that in enacting the CWA, Congress had in mind “its traditional jurisdiction over waters that were or had been navigable in fact or which could reasonably be so made.”  In </w:t>
      </w:r>
      <w:r>
        <w:rPr>
          <w:rFonts w:eastAsia="CG Times" w:cs="CG Times" w:ascii="CG Times" w:hAnsi="CG Times"/>
          <w:sz w:val="23"/>
          <w:szCs w:val="23"/>
          <w:u w:val="single"/>
        </w:rPr>
        <w:t>Riverside Bayview Homes, Inc.</w:t>
      </w:r>
      <w:r>
        <w:rPr>
          <w:rFonts w:eastAsia="CG Times" w:cs="CG Times" w:ascii="CG Times" w:hAnsi="CG Times"/>
          <w:sz w:val="23"/>
          <w:szCs w:val="23"/>
        </w:rPr>
        <w:t>, 474 U.S. 121 (1985), the Court upheld jurisdiction over wetlands “adjacent” to navigable waters.  In that case, the Court ruled that Congress intended the term “navigable waters” to include at least some waters that would not be deemed “navigable” under the classical understanding of that term.  However, the Court yesterday noted that there is a difference between giving the term “navigable” limited effect, and giving the term no effect at all.</w:t>
      </w:r>
    </w:p>
    <w:p>
      <w:pPr>
        <w:pStyle w:val="Normal"/>
        <w:spacing w:lineRule="exact" w:line="235"/>
        <w:rPr>
          <w:rFonts w:ascii="CG Times" w:hAnsi="CG Times" w:eastAsia="CG Times" w:cs="CG Times"/>
          <w:sz w:val="23"/>
          <w:szCs w:val="23"/>
        </w:rPr>
      </w:pPr>
      <w:r>
        <w:rPr>
          <w:rFonts w:eastAsia="CG Times" w:cs="CG Times" w:ascii="CG Times" w:hAnsi="CG Times"/>
          <w:sz w:val="23"/>
          <w:szCs w:val="23"/>
        </w:rPr>
      </w:r>
    </w:p>
    <w:p>
      <w:pPr>
        <w:pStyle w:val="Normal"/>
        <w:spacing w:lineRule="exact" w:line="235"/>
        <w:rPr>
          <w:rFonts w:ascii="CG Times" w:hAnsi="CG Times" w:eastAsia="CG Times" w:cs="CG Times"/>
          <w:sz w:val="23"/>
          <w:szCs w:val="23"/>
        </w:rPr>
      </w:pPr>
      <w:r>
        <w:rPr>
          <w:rFonts w:eastAsia="CG Times" w:cs="CG Times" w:ascii="CG Times" w:hAnsi="CG Times"/>
          <w:sz w:val="23"/>
          <w:szCs w:val="23"/>
        </w:rPr>
        <w:tab/>
        <w:t>In addition, the Court ruled that even if the CWA’s grant of authority in Section 404 were not clear, the Court would not defer to the agencies’ interpretation of the Act in this case because the regulation raised constitutional questions.  The Court stated that “[w]here an administrative interpretation of a statute invokes the outer limits of Congress’ power, we expect a clear indication that Congress intended that result.”  The majority stated that allowing the Corps and EPA to claim jurisdiction over isolated waters such as ponds and mudflats would result in a “significant impingement of the State’s traditional and primary power over land and water use,” the regulation of which is traditionally performed by local governments.  Rather than readjusting the federal-state balance under the CWA, Congress chose to “recognize, preserve, and protect the primary responsibilities and rights of States . . . to plan the development and use . . . of land and water resources” as expressed in Section 101(b) of the CWA.  The Court found “nothing approaching a clear statement from Congress that it intended § 404(a) to reach an abandoned sand and gravel pit such as the one at issue,” and therefore, rejecting the agencies’ request for deference, read the statute to avoid such significant constitutional and federalism questions.</w:t>
      </w:r>
    </w:p>
    <w:p>
      <w:pPr>
        <w:pStyle w:val="Normal"/>
        <w:spacing w:lineRule="exact" w:line="235"/>
        <w:rPr>
          <w:rFonts w:ascii="CG Times" w:hAnsi="CG Times" w:eastAsia="CG Times" w:cs="CG Times"/>
          <w:sz w:val="23"/>
          <w:szCs w:val="23"/>
        </w:rPr>
      </w:pPr>
      <w:r>
        <w:rPr>
          <w:rFonts w:eastAsia="CG Times" w:cs="CG Times" w:ascii="CG Times" w:hAnsi="CG Times"/>
          <w:sz w:val="23"/>
          <w:szCs w:val="23"/>
        </w:rPr>
      </w:r>
    </w:p>
    <w:p>
      <w:pPr>
        <w:pStyle w:val="Normal"/>
        <w:spacing w:lineRule="exact" w:line="235"/>
        <w:rPr/>
      </w:pPr>
      <w:r>
        <w:rPr>
          <w:rFonts w:eastAsia="CG Times" w:cs="CG Times" w:ascii="CG Times" w:hAnsi="CG Times"/>
          <w:sz w:val="23"/>
          <w:szCs w:val="23"/>
        </w:rPr>
        <w:tab/>
        <w:t xml:space="preserve">The four dissenters asserted that the Court’s previous decision in </w:t>
      </w:r>
      <w:r>
        <w:rPr>
          <w:rFonts w:eastAsia="CG Times" w:cs="CG Times" w:ascii="CG Times" w:hAnsi="CG Times"/>
          <w:sz w:val="23"/>
          <w:szCs w:val="23"/>
          <w:u w:val="single"/>
        </w:rPr>
        <w:t xml:space="preserve">Riverside </w:t>
      </w:r>
      <w:r>
        <w:rPr>
          <w:rFonts w:eastAsia="CG Times" w:cs="CG Times" w:ascii="CG Times" w:hAnsi="CG Times"/>
          <w:sz w:val="23"/>
          <w:szCs w:val="23"/>
        </w:rPr>
        <w:t xml:space="preserve">recognized that Congress had “acquiesced” in the Corps’ understanding of its jurisdiction to include isolated waters.  The dissent argued further that, with respect to the Court’s decision in </w:t>
      </w:r>
      <w:r>
        <w:rPr>
          <w:rFonts w:eastAsia="CG Times" w:cs="CG Times" w:ascii="CG Times" w:hAnsi="CG Times"/>
          <w:sz w:val="23"/>
          <w:szCs w:val="23"/>
          <w:u w:val="single"/>
        </w:rPr>
        <w:t>Riverside</w:t>
      </w:r>
      <w:r>
        <w:rPr>
          <w:rFonts w:eastAsia="CG Times" w:cs="CG Times" w:ascii="CG Times" w:hAnsi="CG Times"/>
          <w:sz w:val="23"/>
          <w:szCs w:val="23"/>
        </w:rPr>
        <w:t xml:space="preserve"> to uphold federal jurisdiction over wetlands adjacent to navigable waters, “once Congress crossed the legal watershed that separates navigable streams of commerce from marshes and inland lakes, there is no principled reason for limiting the statute’s protection to those waters or wetlands that happen to lie near a navigable stream.”</w:t>
      </w:r>
    </w:p>
    <w:p>
      <w:pPr>
        <w:pStyle w:val="Normal"/>
        <w:spacing w:lineRule="exact" w:line="235"/>
        <w:rPr>
          <w:rFonts w:ascii="CG Times" w:hAnsi="CG Times" w:eastAsia="CG Times" w:cs="CG Times"/>
          <w:sz w:val="23"/>
          <w:szCs w:val="23"/>
        </w:rPr>
      </w:pPr>
      <w:r>
        <w:rPr>
          <w:rFonts w:eastAsia="CG Times" w:cs="CG Times" w:ascii="CG Times" w:hAnsi="CG Times"/>
          <w:sz w:val="23"/>
          <w:szCs w:val="23"/>
        </w:rPr>
      </w:r>
    </w:p>
    <w:p>
      <w:pPr>
        <w:pStyle w:val="Normal"/>
        <w:spacing w:lineRule="exact" w:line="235"/>
        <w:ind w:start="720" w:end="0"/>
        <w:rPr>
          <w:rFonts w:ascii="CG Times" w:hAnsi="CG Times" w:eastAsia="CG Times" w:cs="CG Times"/>
          <w:sz w:val="23"/>
          <w:szCs w:val="23"/>
        </w:rPr>
      </w:pPr>
      <w:r>
        <w:rPr>
          <w:rFonts w:eastAsia="CG Times" w:cs="CG Times" w:ascii="CG Times" w:hAnsi="CG Times"/>
          <w:b/>
          <w:bCs/>
          <w:sz w:val="23"/>
          <w:szCs w:val="23"/>
          <w:u w:val="single"/>
        </w:rPr>
        <w:t>Implications of the Decision</w:t>
      </w:r>
    </w:p>
    <w:p>
      <w:pPr>
        <w:pStyle w:val="Normal"/>
        <w:spacing w:lineRule="exact" w:line="235"/>
        <w:rPr>
          <w:rFonts w:ascii="CG Times" w:hAnsi="CG Times" w:eastAsia="CG Times" w:cs="CG Times"/>
          <w:sz w:val="23"/>
          <w:szCs w:val="23"/>
        </w:rPr>
      </w:pPr>
      <w:r>
        <w:rPr>
          <w:rFonts w:eastAsia="CG Times" w:cs="CG Times" w:ascii="CG Times" w:hAnsi="CG Times"/>
          <w:sz w:val="23"/>
          <w:szCs w:val="23"/>
        </w:rPr>
      </w:r>
    </w:p>
    <w:p>
      <w:pPr>
        <w:sectPr>
          <w:type w:val="continuous"/>
          <w:pgSz w:w="12240" w:h="15840"/>
          <w:pgMar w:left="1440" w:right="1440" w:gutter="0" w:header="0" w:top="1440" w:footer="1920" w:bottom="1976"/>
          <w:formProt w:val="false"/>
          <w:titlePg/>
          <w:textDirection w:val="lrTb"/>
        </w:sectPr>
      </w:pPr>
    </w:p>
    <w:p>
      <w:pPr>
        <w:pStyle w:val="Normal"/>
        <w:spacing w:lineRule="exact" w:line="235"/>
        <w:rPr>
          <w:rFonts w:ascii="CG Times" w:hAnsi="CG Times" w:eastAsia="CG Times" w:cs="CG Times"/>
          <w:sz w:val="23"/>
          <w:szCs w:val="23"/>
        </w:rPr>
      </w:pPr>
      <w:r>
        <w:rPr>
          <w:rFonts w:eastAsia="CG Times" w:cs="CG Times" w:ascii="CG Times" w:hAnsi="CG Times"/>
          <w:sz w:val="23"/>
          <w:szCs w:val="23"/>
        </w:rPr>
        <w:tab/>
        <w:t>According to one Corps official, isolated waters may account for as much as 10 percent of “waters of the United States,” including wetlands, or about 10 million acres nationwide.  The Court’s decision has a number of implications, including the following:</w:t>
      </w:r>
    </w:p>
    <w:p>
      <w:pPr>
        <w:pStyle w:val="Normal"/>
        <w:spacing w:lineRule="exact" w:line="235"/>
        <w:rPr>
          <w:rFonts w:ascii="CG Times" w:hAnsi="CG Times" w:eastAsia="CG Times" w:cs="CG Times"/>
          <w:sz w:val="23"/>
          <w:szCs w:val="23"/>
        </w:rPr>
      </w:pPr>
      <w:r>
        <w:rPr>
          <w:rFonts w:eastAsia="CG Times" w:cs="CG Times" w:ascii="CG Times" w:hAnsi="CG Times"/>
          <w:sz w:val="23"/>
          <w:szCs w:val="23"/>
        </w:rPr>
      </w:r>
    </w:p>
    <w:p>
      <w:pPr>
        <w:pStyle w:val="Normal"/>
        <w:tabs>
          <w:tab w:val="left" w:pos="720" w:leader="none"/>
        </w:tabs>
        <w:spacing w:lineRule="exact" w:line="235"/>
        <w:ind w:hanging="720" w:start="720" w:end="0"/>
        <w:rPr/>
      </w:pPr>
      <w:r>
        <w:rPr>
          <w:rFonts w:eastAsia="CG Times" w:cs="CG Times" w:ascii="CG Times" w:hAnsi="CG Times"/>
          <w:sz w:val="23"/>
          <w:szCs w:val="23"/>
        </w:rPr>
        <w:t>•</w:t>
      </w:r>
      <w:r>
        <w:rPr>
          <w:rFonts w:eastAsia="CG Times" w:cs="CG Times" w:ascii="CG Times" w:hAnsi="CG Times"/>
          <w:sz w:val="23"/>
          <w:szCs w:val="23"/>
        </w:rPr>
        <w:tab/>
      </w:r>
      <w:r>
        <w:rPr>
          <w:rFonts w:eastAsia="CG Times" w:cs="CG Times" w:ascii="CG Times" w:hAnsi="CG Times"/>
          <w:i/>
          <w:iCs/>
          <w:sz w:val="23"/>
          <w:szCs w:val="23"/>
        </w:rPr>
        <w:t>Guidance from the agencies</w:t>
      </w:r>
      <w:r>
        <w:rPr>
          <w:rFonts w:eastAsia="CG Times" w:cs="CG Times" w:ascii="CG Times" w:hAnsi="CG Times"/>
          <w:sz w:val="23"/>
          <w:szCs w:val="23"/>
        </w:rPr>
        <w:t>.  The Corps and EPA are likely to issue guidance, perhaps before the end of the current Administration on January 20th, to their field staff on how to implement the Court’s decision.  The guidance may attempt to limit the reach of the Court’s decision.  Any such guidance can be reviewed by the new Administration that takes office on January 20, 2001.</w:t>
      </w:r>
    </w:p>
    <w:p>
      <w:pPr>
        <w:pStyle w:val="Normal"/>
        <w:spacing w:lineRule="exact" w:line="235"/>
        <w:rPr>
          <w:rFonts w:ascii="CG Times" w:hAnsi="CG Times" w:eastAsia="CG Times" w:cs="CG Times"/>
          <w:sz w:val="23"/>
          <w:szCs w:val="23"/>
        </w:rPr>
      </w:pPr>
      <w:r>
        <w:rPr>
          <w:rFonts w:eastAsia="CG Times" w:cs="CG Times" w:ascii="CG Times" w:hAnsi="CG Times"/>
          <w:sz w:val="23"/>
          <w:szCs w:val="23"/>
        </w:rPr>
      </w:r>
    </w:p>
    <w:p>
      <w:pPr>
        <w:pStyle w:val="Normal"/>
        <w:tabs>
          <w:tab w:val="left" w:pos="720" w:leader="none"/>
        </w:tabs>
        <w:spacing w:lineRule="exact" w:line="235"/>
        <w:ind w:hanging="720" w:start="720" w:end="0"/>
        <w:rPr/>
      </w:pPr>
      <w:r>
        <w:rPr>
          <w:rFonts w:eastAsia="CG Times" w:cs="CG Times" w:ascii="CG Times" w:hAnsi="CG Times"/>
          <w:sz w:val="23"/>
          <w:szCs w:val="23"/>
        </w:rPr>
        <w:t>•</w:t>
      </w:r>
      <w:r>
        <w:rPr>
          <w:rFonts w:eastAsia="CG Times" w:cs="CG Times" w:ascii="CG Times" w:hAnsi="CG Times"/>
          <w:sz w:val="23"/>
          <w:szCs w:val="23"/>
        </w:rPr>
        <w:tab/>
      </w:r>
      <w:r>
        <w:rPr>
          <w:rFonts w:eastAsia="CG Times" w:cs="CG Times" w:ascii="CG Times" w:hAnsi="CG Times"/>
          <w:i/>
          <w:iCs/>
          <w:sz w:val="23"/>
          <w:szCs w:val="23"/>
        </w:rPr>
        <w:t>A push for federal legislation</w:t>
      </w:r>
      <w:r>
        <w:rPr>
          <w:rFonts w:eastAsia="CG Times" w:cs="CG Times" w:ascii="CG Times" w:hAnsi="CG Times"/>
          <w:sz w:val="23"/>
          <w:szCs w:val="23"/>
        </w:rPr>
        <w:t>.  The elimination of isolated waters from federal jurisdiction may result in congressional efforts to amend the Act.  EPA Administrator Carol Browner has called for such action.  However, the Court in its opinion signaled that such legislation could raise constitutional questions.  While the Court was not required to address the issue directly, the Court indicated that questions would arise involving Congress’ authority to regulate isolated waters consistent with the Commerce Clause of the Constitution.</w:t>
      </w:r>
    </w:p>
    <w:p>
      <w:pPr>
        <w:pStyle w:val="Normal"/>
        <w:spacing w:lineRule="exact" w:line="235"/>
        <w:rPr>
          <w:rFonts w:ascii="CG Times" w:hAnsi="CG Times" w:eastAsia="CG Times" w:cs="CG Times"/>
          <w:sz w:val="23"/>
          <w:szCs w:val="23"/>
        </w:rPr>
      </w:pPr>
      <w:r>
        <w:rPr>
          <w:rFonts w:eastAsia="CG Times" w:cs="CG Times" w:ascii="CG Times" w:hAnsi="CG Times"/>
          <w:sz w:val="23"/>
          <w:szCs w:val="23"/>
        </w:rPr>
      </w:r>
    </w:p>
    <w:p>
      <w:pPr>
        <w:pStyle w:val="Normal"/>
        <w:tabs>
          <w:tab w:val="left" w:pos="720" w:leader="none"/>
        </w:tabs>
        <w:spacing w:lineRule="exact" w:line="235"/>
        <w:ind w:hanging="720" w:start="720" w:end="0"/>
        <w:rPr/>
      </w:pPr>
      <w:r>
        <w:rPr>
          <w:rFonts w:eastAsia="CG Times" w:cs="CG Times" w:ascii="CG Times" w:hAnsi="CG Times"/>
          <w:sz w:val="23"/>
          <w:szCs w:val="23"/>
        </w:rPr>
        <w:t>•</w:t>
      </w:r>
      <w:r>
        <w:rPr>
          <w:rFonts w:eastAsia="CG Times" w:cs="CG Times" w:ascii="CG Times" w:hAnsi="CG Times"/>
          <w:sz w:val="23"/>
          <w:szCs w:val="23"/>
        </w:rPr>
        <w:tab/>
      </w:r>
      <w:r>
        <w:rPr>
          <w:rFonts w:eastAsia="CG Times" w:cs="CG Times" w:ascii="CG Times" w:hAnsi="CG Times"/>
          <w:i/>
          <w:iCs/>
          <w:sz w:val="23"/>
          <w:szCs w:val="23"/>
        </w:rPr>
        <w:t>A push for state legislation</w:t>
      </w:r>
      <w:r>
        <w:rPr>
          <w:rFonts w:eastAsia="CG Times" w:cs="CG Times" w:ascii="CG Times" w:hAnsi="CG Times"/>
          <w:sz w:val="23"/>
          <w:szCs w:val="23"/>
        </w:rPr>
        <w:t>.  The decision appears to leave the protection of isolated waters exclusively to state and local governments.  States and local governments may respond to the Court’s decision by enacting or strengthening state and local laws, or intensifying enforcement of existing laws, in order to protect isolated waters.</w:t>
      </w:r>
    </w:p>
    <w:p>
      <w:pPr>
        <w:pStyle w:val="Normal"/>
        <w:spacing w:lineRule="exact" w:line="235"/>
        <w:rPr>
          <w:rFonts w:ascii="CG Times" w:hAnsi="CG Times" w:eastAsia="CG Times" w:cs="CG Times"/>
          <w:sz w:val="23"/>
          <w:szCs w:val="23"/>
        </w:rPr>
      </w:pPr>
      <w:r>
        <w:rPr>
          <w:rFonts w:eastAsia="CG Times" w:cs="CG Times" w:ascii="CG Times" w:hAnsi="CG Times"/>
          <w:sz w:val="23"/>
          <w:szCs w:val="23"/>
        </w:rPr>
      </w:r>
    </w:p>
    <w:p>
      <w:pPr>
        <w:pStyle w:val="Normal"/>
        <w:tabs>
          <w:tab w:val="left" w:pos="720" w:leader="none"/>
        </w:tabs>
        <w:spacing w:lineRule="exact" w:line="235"/>
        <w:ind w:hanging="720" w:start="720" w:end="0"/>
        <w:rPr/>
      </w:pPr>
      <w:r>
        <w:rPr>
          <w:rFonts w:eastAsia="CG Times" w:cs="CG Times" w:ascii="CG Times" w:hAnsi="CG Times"/>
          <w:sz w:val="23"/>
          <w:szCs w:val="23"/>
        </w:rPr>
        <w:t>•</w:t>
      </w:r>
      <w:r>
        <w:rPr>
          <w:rFonts w:eastAsia="CG Times" w:cs="CG Times" w:ascii="CG Times" w:hAnsi="CG Times"/>
          <w:sz w:val="23"/>
          <w:szCs w:val="23"/>
        </w:rPr>
        <w:tab/>
      </w:r>
      <w:r>
        <w:rPr>
          <w:rFonts w:eastAsia="CG Times" w:cs="CG Times" w:ascii="CG Times" w:hAnsi="CG Times"/>
          <w:i/>
          <w:iCs/>
          <w:sz w:val="23"/>
          <w:szCs w:val="23"/>
        </w:rPr>
        <w:t>Less involvement with FWS under the ESA</w:t>
      </w:r>
      <w:r>
        <w:rPr>
          <w:rFonts w:eastAsia="CG Times" w:cs="CG Times" w:ascii="CG Times" w:hAnsi="CG Times"/>
          <w:sz w:val="23"/>
          <w:szCs w:val="23"/>
        </w:rPr>
        <w:t>.  Consultations with the U.S. Fish and Wildlife Service under Section 7 of the Endangered Species Act are triggered by applications for a federal permit, often by applications under Section 404 of the CWA.  A reduction of waters subject to jurisdiction under the CWA could result in a decrease in the number of Section 7 ESA consultations.  For example, we know of one developer attempting to develop a business park in the western United States.  The property contains isolated waters in which plants protected under the ESA have grown.  Because plants on private property are not subject to the ESA unless a federal permit is required in connection with the property, this case may have eliminated both the Section 404 and ESA problems confronting this developer.</w:t>
      </w:r>
    </w:p>
    <w:p>
      <w:pPr>
        <w:pStyle w:val="Normal"/>
        <w:spacing w:lineRule="exact" w:line="235"/>
        <w:rPr>
          <w:rFonts w:ascii="CG Times" w:hAnsi="CG Times" w:eastAsia="CG Times" w:cs="CG Times"/>
          <w:sz w:val="23"/>
          <w:szCs w:val="23"/>
        </w:rPr>
      </w:pPr>
      <w:r>
        <w:rPr>
          <w:rFonts w:eastAsia="CG Times" w:cs="CG Times" w:ascii="CG Times" w:hAnsi="CG Times"/>
          <w:sz w:val="23"/>
          <w:szCs w:val="23"/>
        </w:rPr>
      </w:r>
    </w:p>
    <w:p>
      <w:pPr>
        <w:pStyle w:val="Normal"/>
        <w:tabs>
          <w:tab w:val="left" w:pos="720" w:leader="none"/>
        </w:tabs>
        <w:spacing w:lineRule="exact" w:line="235"/>
        <w:ind w:hanging="720" w:start="720" w:end="0"/>
        <w:rPr/>
      </w:pPr>
      <w:r>
        <w:rPr>
          <w:rFonts w:eastAsia="CG Times" w:cs="CG Times" w:ascii="CG Times" w:hAnsi="CG Times"/>
          <w:sz w:val="23"/>
          <w:szCs w:val="23"/>
        </w:rPr>
        <w:t>•</w:t>
      </w:r>
      <w:r>
        <w:rPr>
          <w:rFonts w:eastAsia="CG Times" w:cs="CG Times" w:ascii="CG Times" w:hAnsi="CG Times"/>
          <w:sz w:val="23"/>
          <w:szCs w:val="23"/>
        </w:rPr>
        <w:tab/>
      </w:r>
      <w:r>
        <w:rPr>
          <w:rFonts w:eastAsia="CG Times" w:cs="CG Times" w:ascii="CG Times" w:hAnsi="CG Times"/>
          <w:i/>
          <w:iCs/>
          <w:sz w:val="23"/>
          <w:szCs w:val="23"/>
        </w:rPr>
        <w:t>More environmental litigation</w:t>
      </w:r>
      <w:r>
        <w:rPr>
          <w:rFonts w:eastAsia="CG Times" w:cs="CG Times" w:ascii="CG Times" w:hAnsi="CG Times"/>
          <w:sz w:val="23"/>
          <w:szCs w:val="23"/>
        </w:rPr>
        <w:t>.  The Court’s decision is likely to elicit constitutional challenges to the reach of other environmental statutes and programs that impinge on state authority because dicta in the decision suggests that the Court is prepared to scale back the deference given by the courts to federal agency interpretations of such statutes.  (</w:t>
      </w:r>
      <w:r>
        <w:rPr>
          <w:rFonts w:eastAsia="CG Times" w:cs="CG Times" w:ascii="CG Times" w:hAnsi="CG Times"/>
          <w:sz w:val="23"/>
          <w:szCs w:val="23"/>
          <w:u w:val="single"/>
        </w:rPr>
        <w:t>Chevron U.S.A. Inc. v. Natural Resources Defense Council, Inc.</w:t>
      </w:r>
      <w:r>
        <w:rPr>
          <w:rFonts w:eastAsia="CG Times" w:cs="CG Times" w:ascii="CG Times" w:hAnsi="CG Times"/>
          <w:sz w:val="23"/>
          <w:szCs w:val="23"/>
        </w:rPr>
        <w:t>, 467 U.S. 837 (1984)).</w:t>
      </w:r>
    </w:p>
    <w:p>
      <w:pPr>
        <w:pStyle w:val="Normal"/>
        <w:spacing w:lineRule="exact" w:line="235"/>
        <w:rPr>
          <w:rFonts w:ascii="CG Times" w:hAnsi="CG Times" w:eastAsia="CG Times" w:cs="CG Times"/>
          <w:sz w:val="23"/>
          <w:szCs w:val="23"/>
        </w:rPr>
      </w:pPr>
      <w:r>
        <w:rPr>
          <w:rFonts w:eastAsia="CG Times" w:cs="CG Times" w:ascii="CG Times" w:hAnsi="CG Times"/>
          <w:sz w:val="23"/>
          <w:szCs w:val="23"/>
        </w:rPr>
      </w:r>
    </w:p>
    <w:p>
      <w:pPr>
        <w:pStyle w:val="Normal"/>
        <w:spacing w:lineRule="exact" w:line="235"/>
        <w:rPr>
          <w:rFonts w:ascii="CG Times" w:hAnsi="CG Times" w:eastAsia="CG Times" w:cs="CG Times"/>
          <w:sz w:val="23"/>
          <w:szCs w:val="23"/>
        </w:rPr>
      </w:pPr>
      <w:r>
        <w:rPr>
          <w:rFonts w:eastAsia="CG Times" w:cs="CG Times" w:ascii="CG Times" w:hAnsi="CG Times"/>
          <w:sz w:val="23"/>
          <w:szCs w:val="23"/>
        </w:rPr>
        <w:tab/>
        <w:t>For additional information, please contact Bob Szabo (202-298-1920, rgs@vnf.com), Howard Bleichfeld (202-298-1945, hsb@vnf.com) or Sam Kalen (202-298-1826, smk@vnf.com) with the law firm of Van Ness Feldman, P.C.</w:t>
      </w:r>
    </w:p>
    <w:sectPr>
      <w:type w:val="continuous"/>
      <w:pgSz w:w="12240" w:h="15840"/>
      <w:pgMar w:left="1440" w:right="1440" w:gutter="0" w:header="0" w:top="1440" w:footer="1920" w:bottom="1976"/>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CG Time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35"/>
      <w:rPr>
        <w:rFonts w:ascii="CG Times" w:hAnsi="CG Times" w:eastAsia="CG Times" w:cs="CG Times"/>
        <w:sz w:val="23"/>
        <w:szCs w:val="23"/>
      </w:rPr>
    </w:pPr>
    <w:r>
      <w:rPr>
        <w:rFonts w:eastAsia="CG Times" w:cs="CG Times" w:ascii="CG Times" w:hAnsi="CG Times"/>
        <w:sz w:val="23"/>
        <w:szCs w:val="23"/>
      </w:rPr>
      <w:t>© 2001 Van Ness Feldman, P.C.</w:t>
    </w:r>
    <w:r>
      <mc:AlternateContent>
        <mc:Choice Requires="wps">
          <w:drawing>
            <wp:anchor behindDoc="0" distT="0" distB="0" distL="0" distR="0" simplePos="0" locked="0" layoutInCell="0" allowOverlap="1" relativeHeight="6">
              <wp:simplePos x="0" y="0"/>
              <wp:positionH relativeFrom="page">
                <wp:posOffset>3521075</wp:posOffset>
              </wp:positionH>
              <wp:positionV relativeFrom="page">
                <wp:posOffset>9601835</wp:posOffset>
              </wp:positionV>
              <wp:extent cx="365760" cy="146685"/>
              <wp:effectExtent l="0" t="0" r="0" b="0"/>
              <wp:wrapSquare wrapText="bothSides"/>
              <wp:docPr id="5" name="Frame3"/>
              <a:graphic xmlns:a="http://schemas.openxmlformats.org/drawingml/2006/main">
                <a:graphicData uri="http://schemas.microsoft.com/office/word/2010/wordprocessingShape">
                  <wps:wsp>
                    <wps:cNvSpPr txBox="1"/>
                    <wps:spPr>
                      <a:xfrm>
                        <a:off x="0" y="0"/>
                        <a:ext cx="365760" cy="146685"/>
                      </a:xfrm>
                      <a:prstGeom prst="rect"/>
                      <a:solidFill>
                        <a:srgbClr val="FFFFFF">
                          <a:alpha val="0"/>
                        </a:srgbClr>
                      </a:solidFill>
                    </wps:spPr>
                    <wps:txbx>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8pt;height:11.55pt;mso-wrap-distance-left:0pt;mso-wrap-distance-right:0pt;mso-wrap-distance-top:0pt;mso-wrap-distance-bottom:0pt;margin-top:756.05pt;mso-position-vertical-relative:page;margin-left:277.25pt;mso-position-horizontal-relative:page">
              <v:fill opacity="0f"/>
              <v:textbox inset="0in,0in,0in,0in">
                <w:txbxContent>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2">
    <w:name w:val="1AutoList2"/>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4"/>
      <w:lang w:val="en-US" w:eastAsia="zh-CN" w:bidi="hi-IN"/>
    </w:rPr>
  </w:style>
  <w:style w:type="paragraph" w:styleId="2AutoList2">
    <w:name w:val="2AutoList2"/>
    <w:qFormat/>
    <w:pPr>
      <w:widowControl w:val="false"/>
      <w:bidi w:val="0"/>
      <w:ind w:hanging="0" w:start="-1440" w:end="0"/>
      <w:jc w:val="both"/>
    </w:pPr>
    <w:rPr>
      <w:rFonts w:ascii="Times New Roman" w:hAnsi="Times New Roman" w:eastAsia="Times New Roman" w:cs="Times New Roman"/>
      <w:color w:val="auto"/>
      <w:sz w:val="24"/>
      <w:szCs w:val="24"/>
      <w:lang w:val="en-US" w:eastAsia="zh-CN" w:bidi="hi-IN"/>
    </w:rPr>
  </w:style>
  <w:style w:type="paragraph" w:styleId="3AutoList2">
    <w:name w:val="3AutoList2"/>
    <w:qFormat/>
    <w:pPr>
      <w:widowControl w:val="false"/>
      <w:bidi w:val="0"/>
      <w:ind w:hanging="0" w:start="-1440" w:end="0"/>
      <w:jc w:val="both"/>
    </w:pPr>
    <w:rPr>
      <w:rFonts w:ascii="Times New Roman" w:hAnsi="Times New Roman" w:eastAsia="Times New Roman" w:cs="Times New Roman"/>
      <w:color w:val="auto"/>
      <w:sz w:val="24"/>
      <w:szCs w:val="24"/>
      <w:lang w:val="en-US" w:eastAsia="zh-CN" w:bidi="hi-IN"/>
    </w:rPr>
  </w:style>
  <w:style w:type="paragraph" w:styleId="4AutoList2">
    <w:name w:val="4AutoList2"/>
    <w:qFormat/>
    <w:pPr>
      <w:widowControl w:val="false"/>
      <w:bidi w:val="0"/>
      <w:ind w:hanging="0" w:start="-1440" w:end="0"/>
      <w:jc w:val="both"/>
    </w:pPr>
    <w:rPr>
      <w:rFonts w:ascii="Times New Roman" w:hAnsi="Times New Roman" w:eastAsia="Times New Roman" w:cs="Times New Roman"/>
      <w:color w:val="auto"/>
      <w:sz w:val="24"/>
      <w:szCs w:val="24"/>
      <w:lang w:val="en-US" w:eastAsia="zh-CN" w:bidi="hi-IN"/>
    </w:rPr>
  </w:style>
  <w:style w:type="paragraph" w:styleId="5AutoList2">
    <w:name w:val="5AutoList2"/>
    <w:qFormat/>
    <w:pPr>
      <w:widowControl w:val="false"/>
      <w:bidi w:val="0"/>
      <w:ind w:hanging="0" w:start="-1440" w:end="0"/>
      <w:jc w:val="both"/>
    </w:pPr>
    <w:rPr>
      <w:rFonts w:ascii="Times New Roman" w:hAnsi="Times New Roman" w:eastAsia="Times New Roman" w:cs="Times New Roman"/>
      <w:color w:val="auto"/>
      <w:sz w:val="24"/>
      <w:szCs w:val="24"/>
      <w:lang w:val="en-US" w:eastAsia="zh-CN" w:bidi="hi-IN"/>
    </w:rPr>
  </w:style>
  <w:style w:type="paragraph" w:styleId="6AutoList2">
    <w:name w:val="6AutoList2"/>
    <w:qFormat/>
    <w:pPr>
      <w:widowControl w:val="false"/>
      <w:bidi w:val="0"/>
      <w:ind w:hanging="0" w:start="-1440" w:end="0"/>
      <w:jc w:val="both"/>
    </w:pPr>
    <w:rPr>
      <w:rFonts w:ascii="Times New Roman" w:hAnsi="Times New Roman" w:eastAsia="Times New Roman" w:cs="Times New Roman"/>
      <w:color w:val="auto"/>
      <w:sz w:val="24"/>
      <w:szCs w:val="24"/>
      <w:lang w:val="en-US" w:eastAsia="zh-CN" w:bidi="hi-IN"/>
    </w:rPr>
  </w:style>
  <w:style w:type="paragraph" w:styleId="7AutoList2">
    <w:name w:val="7AutoList2"/>
    <w:qFormat/>
    <w:pPr>
      <w:widowControl w:val="false"/>
      <w:bidi w:val="0"/>
      <w:ind w:hanging="0" w:start="-1440" w:end="0"/>
      <w:jc w:val="both"/>
    </w:pPr>
    <w:rPr>
      <w:rFonts w:ascii="Times New Roman" w:hAnsi="Times New Roman" w:eastAsia="Times New Roman" w:cs="Times New Roman"/>
      <w:color w:val="auto"/>
      <w:sz w:val="24"/>
      <w:szCs w:val="24"/>
      <w:lang w:val="en-US" w:eastAsia="zh-CN" w:bidi="hi-IN"/>
    </w:rPr>
  </w:style>
  <w:style w:type="paragraph" w:styleId="8AutoList2">
    <w:name w:val="8AutoList2"/>
    <w:qFormat/>
    <w:pPr>
      <w:widowControl w:val="false"/>
      <w:bidi w:val="0"/>
      <w:ind w:hanging="0" w:start="-1440" w:end="0"/>
      <w:jc w:val="both"/>
    </w:pPr>
    <w:rPr>
      <w:rFonts w:ascii="Times New Roman" w:hAnsi="Times New Roman" w:eastAsia="Times New Roman" w:cs="Times New Roman"/>
      <w:color w:val="auto"/>
      <w:sz w:val="24"/>
      <w:szCs w:val="24"/>
      <w:lang w:val="en-US" w:eastAsia="zh-CN" w:bidi="hi-IN"/>
    </w:rPr>
  </w:style>
  <w:style w:type="paragraph" w:styleId="1AutoList1">
    <w:name w:val="1AutoList1"/>
    <w:qFormat/>
    <w:pPr>
      <w:widowControl w:val="false"/>
      <w:tabs>
        <w:tab w:val="left" w:pos="720" w:leader="none"/>
      </w:tabs>
      <w:bidi w:val="0"/>
      <w:ind w:hanging="720" w:start="720" w:end="0"/>
      <w:jc w:val="both"/>
    </w:pPr>
    <w:rPr>
      <w:rFonts w:ascii="Times New Roman" w:hAnsi="Times New Roman" w:eastAsia="Times New Roman" w:cs="Times New Roman"/>
      <w:color w:val="auto"/>
      <w:sz w:val="24"/>
      <w:szCs w:val="24"/>
      <w:lang w:val="en-US" w:eastAsia="zh-CN" w:bidi="hi-IN"/>
    </w:rPr>
  </w:style>
  <w:style w:type="paragraph" w:styleId="2AutoList1">
    <w:name w:val="2AutoList1"/>
    <w:qFormat/>
    <w:pPr>
      <w:widowControl w:val="false"/>
      <w:bidi w:val="0"/>
      <w:ind w:hanging="0" w:start="-1440" w:end="0"/>
      <w:jc w:val="both"/>
    </w:pPr>
    <w:rPr>
      <w:rFonts w:ascii="Times New Roman" w:hAnsi="Times New Roman" w:eastAsia="Times New Roman" w:cs="Times New Roman"/>
      <w:color w:val="auto"/>
      <w:sz w:val="24"/>
      <w:szCs w:val="24"/>
      <w:lang w:val="en-US" w:eastAsia="zh-CN" w:bidi="hi-IN"/>
    </w:rPr>
  </w:style>
  <w:style w:type="paragraph" w:styleId="3AutoList1">
    <w:name w:val="3AutoList1"/>
    <w:qFormat/>
    <w:pPr>
      <w:widowControl w:val="false"/>
      <w:bidi w:val="0"/>
      <w:ind w:hanging="0" w:start="-1440" w:end="0"/>
      <w:jc w:val="both"/>
    </w:pPr>
    <w:rPr>
      <w:rFonts w:ascii="Times New Roman" w:hAnsi="Times New Roman" w:eastAsia="Times New Roman" w:cs="Times New Roman"/>
      <w:color w:val="auto"/>
      <w:sz w:val="24"/>
      <w:szCs w:val="24"/>
      <w:lang w:val="en-US" w:eastAsia="zh-CN" w:bidi="hi-IN"/>
    </w:rPr>
  </w:style>
  <w:style w:type="paragraph" w:styleId="4AutoList1">
    <w:name w:val="4AutoList1"/>
    <w:qFormat/>
    <w:pPr>
      <w:widowControl w:val="false"/>
      <w:bidi w:val="0"/>
      <w:ind w:hanging="0" w:start="-1440" w:end="0"/>
      <w:jc w:val="both"/>
    </w:pPr>
    <w:rPr>
      <w:rFonts w:ascii="Times New Roman" w:hAnsi="Times New Roman" w:eastAsia="Times New Roman" w:cs="Times New Roman"/>
      <w:color w:val="auto"/>
      <w:sz w:val="24"/>
      <w:szCs w:val="24"/>
      <w:lang w:val="en-US" w:eastAsia="zh-CN" w:bidi="hi-IN"/>
    </w:rPr>
  </w:style>
  <w:style w:type="paragraph" w:styleId="5AutoList1">
    <w:name w:val="5AutoList1"/>
    <w:qFormat/>
    <w:pPr>
      <w:widowControl w:val="false"/>
      <w:bidi w:val="0"/>
      <w:ind w:hanging="0" w:start="-1440" w:end="0"/>
      <w:jc w:val="both"/>
    </w:pPr>
    <w:rPr>
      <w:rFonts w:ascii="Times New Roman" w:hAnsi="Times New Roman" w:eastAsia="Times New Roman" w:cs="Times New Roman"/>
      <w:color w:val="auto"/>
      <w:sz w:val="24"/>
      <w:szCs w:val="24"/>
      <w:lang w:val="en-US" w:eastAsia="zh-CN" w:bidi="hi-IN"/>
    </w:rPr>
  </w:style>
  <w:style w:type="paragraph" w:styleId="6AutoList1">
    <w:name w:val="6AutoList1"/>
    <w:qFormat/>
    <w:pPr>
      <w:widowControl w:val="false"/>
      <w:bidi w:val="0"/>
      <w:ind w:hanging="0" w:start="-1440" w:end="0"/>
      <w:jc w:val="both"/>
    </w:pPr>
    <w:rPr>
      <w:rFonts w:ascii="Times New Roman" w:hAnsi="Times New Roman" w:eastAsia="Times New Roman" w:cs="Times New Roman"/>
      <w:color w:val="auto"/>
      <w:sz w:val="24"/>
      <w:szCs w:val="24"/>
      <w:lang w:val="en-US" w:eastAsia="zh-CN" w:bidi="hi-IN"/>
    </w:rPr>
  </w:style>
  <w:style w:type="paragraph" w:styleId="7AutoList1">
    <w:name w:val="7AutoList1"/>
    <w:qFormat/>
    <w:pPr>
      <w:widowControl w:val="false"/>
      <w:bidi w:val="0"/>
      <w:ind w:hanging="0" w:start="-1440" w:end="0"/>
      <w:jc w:val="both"/>
    </w:pPr>
    <w:rPr>
      <w:rFonts w:ascii="Times New Roman" w:hAnsi="Times New Roman" w:eastAsia="Times New Roman" w:cs="Times New Roman"/>
      <w:color w:val="auto"/>
      <w:sz w:val="24"/>
      <w:szCs w:val="24"/>
      <w:lang w:val="en-US" w:eastAsia="zh-CN" w:bidi="hi-IN"/>
    </w:rPr>
  </w:style>
  <w:style w:type="paragraph" w:styleId="8AutoList1">
    <w:name w:val="8AutoList1"/>
    <w:qFormat/>
    <w:pPr>
      <w:widowControl w:val="false"/>
      <w:bidi w:val="0"/>
      <w:ind w:hanging="0" w:start="-1440" w:end="0"/>
      <w:jc w:val="both"/>
    </w:pPr>
    <w:rPr>
      <w:rFonts w:ascii="Times New Roman" w:hAnsi="Times New Roman" w:eastAsia="Times New Roman" w:cs="Times New Roman"/>
      <w:color w:val="auto"/>
      <w:sz w:val="24"/>
      <w:szCs w:val="24"/>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image" Target="media/image1.emf"/><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2001-01-17T11:21:00Z</dcterms:created>
  <dc:creator>Van Ness Feldman</dc:creator>
  <dc:description/>
  <dc:language>en-CA</dc:language>
  <cp:lastModifiedBy>Van Ness Feldman</cp:lastModifiedBy>
  <dcterms:modified xsi:type="dcterms:W3CDTF">2001-01-17T11:21:00Z</dcterms:modified>
  <cp:revision>2</cp:revision>
  <dc:subject/>
  <dc:title> </dc:title>
</cp:coreProperties>
</file>