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480"/>
        <w:jc w:val="center"/>
        <w:rPr/>
      </w:pPr>
      <w:r>
        <w:fldChar w:fldCharType="begin"/>
      </w:r>
      <w:r>
        <w:rPr>
          <w:sz w:val="24"/>
        </w:rPr>
        <w:instrText xml:space="preserve">ADVANCE \y 72</w:instrText>
      </w:r>
      <w:r>
        <w:rPr>
          <w:sz w:val="24"/>
        </w:rPr>
      </w:r>
      <w:r>
        <w:rPr>
          <w:sz w:val="24"/>
        </w:rPr>
        <w:fldChar w:fldCharType="separate"/>
      </w:r>
      <w:r>
        <w:rPr>
          <w:sz w:val="24"/>
        </w:rPr>
      </w:r>
      <w:r>
        <w:rPr>
          <w:sz w:val="24"/>
        </w:rPr>
      </w:r>
      <w:r>
        <w:rPr>
          <w:sz w:val="24"/>
        </w:rPr>
        <w:fldChar w:fldCharType="end"/>
      </w:r>
      <w:r>
        <w:rPr>
          <w:b/>
          <w:sz w:val="24"/>
        </w:rPr>
        <w:t xml:space="preserve"> BEFORE THE PUBLIC UTILITIES COMMISSION OF THE</w:t>
      </w:r>
    </w:p>
    <w:p>
      <w:pPr>
        <w:pStyle w:val="Normal"/>
        <w:spacing w:lineRule="atLeast" w:line="480"/>
        <w:jc w:val="center"/>
        <w:rPr>
          <w:b/>
          <w:sz w:val="24"/>
        </w:rPr>
      </w:pPr>
      <w:r>
        <w:rPr>
          <w:b/>
          <w:sz w:val="24"/>
        </w:rPr>
        <w:t>STATE OF CALIFORNIA</w:t>
      </w:r>
    </w:p>
    <w:p>
      <w:pPr>
        <w:pStyle w:val="Normal"/>
        <w:spacing w:lineRule="atLeast" w:line="480"/>
        <w:jc w:val="center"/>
        <w:rPr>
          <w:b/>
          <w:sz w:val="24"/>
        </w:rPr>
      </w:pPr>
      <w:r>
        <w:rPr>
          <w:b/>
          <w:sz w:val="24"/>
        </w:rPr>
      </w:r>
    </w:p>
    <w:p>
      <w:pPr>
        <w:pStyle w:val="Normal"/>
        <w:jc w:val="both"/>
        <w:rPr>
          <w:sz w:val="24"/>
        </w:rPr>
      </w:pPr>
      <w:r>
        <w:rPr>
          <w:sz w:val="24"/>
        </w:rPr>
        <w:t>Application of Southern California Edison</w:t>
        <w:tab/>
        <w:t xml:space="preserve"> </w:t>
        <w:tab/>
        <w:t>)</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jc w:val="both"/>
        <w:rPr>
          <w:sz w:val="24"/>
        </w:rPr>
      </w:pPr>
      <w:r>
        <w:rPr>
          <w:sz w:val="24"/>
        </w:rPr>
        <w:t xml:space="preserve">Company for Authority to </w:t>
        <w:tab/>
        <w:tab/>
        <w:tab/>
        <w:t xml:space="preserve">      </w:t>
        <w:tab/>
        <w:t>)</w:t>
        <w:tab/>
        <w:t xml:space="preserve">   Application 00-11-038</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jc w:val="both"/>
        <w:rPr>
          <w:sz w:val="24"/>
        </w:rPr>
      </w:pPr>
      <w:r>
        <w:rPr>
          <w:sz w:val="24"/>
        </w:rPr>
        <w:t xml:space="preserve">Institute a Rate Stabilization Plan With a Rate      </w:t>
        <w:tab/>
        <w:t>)</w:t>
        <w:tab/>
        <w:t>(Filed November 16,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jc w:val="both"/>
        <w:rPr>
          <w:sz w:val="24"/>
        </w:rPr>
      </w:pPr>
      <w:r>
        <w:rPr>
          <w:sz w:val="24"/>
        </w:rPr>
        <w:t xml:space="preserve">Increase and end of Rate Freeze Tariffs.             </w:t>
        <w:tab/>
        <w:t>)</w:t>
      </w:r>
    </w:p>
    <w:p>
      <w:pPr>
        <w:pStyle w:val="Normal"/>
        <w:jc w:val="both"/>
        <w:rPr>
          <w:sz w:val="24"/>
        </w:rPr>
      </w:pPr>
      <w:r>
        <w:rPr>
          <w:sz w:val="24"/>
        </w:rPr>
        <w:t>__________________________________________)</w:t>
      </w:r>
    </w:p>
    <w:p>
      <w:pPr>
        <w:pStyle w:val="Normal"/>
        <w:jc w:val="both"/>
        <w:rPr>
          <w:sz w:val="24"/>
        </w:rPr>
      </w:pPr>
      <w:r>
        <w:rPr>
          <w:sz w:val="24"/>
        </w:rPr>
        <w:tab/>
        <w:tab/>
        <w:tab/>
        <w:tab/>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jc w:val="both"/>
        <w:rPr>
          <w:sz w:val="24"/>
        </w:rPr>
      </w:pPr>
      <w:r>
        <w:rPr>
          <w:sz w:val="24"/>
        </w:rPr>
        <w:t>Emergency Application of Pacific Gas and</w:t>
        <w:tab/>
        <w:tab/>
        <w:t>)</w:t>
        <w:tab/>
        <w:t xml:space="preserve">   Application 00-11-056</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jc w:val="both"/>
        <w:rPr>
          <w:sz w:val="24"/>
        </w:rPr>
      </w:pPr>
      <w:r>
        <w:rPr>
          <w:sz w:val="24"/>
        </w:rPr>
        <w:t>Electric Company to Adopt a Rate Stabilization</w:t>
        <w:tab/>
        <w:t>)</w:t>
        <w:tab/>
        <w:t>(Filed November 16,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jc w:val="both"/>
        <w:rPr>
          <w:sz w:val="24"/>
        </w:rPr>
      </w:pPr>
      <w:r>
        <w:rPr>
          <w:sz w:val="24"/>
        </w:rPr>
        <w:t>Plan.</w:t>
        <w:tab/>
        <w:tab/>
        <w:tab/>
        <w:tab/>
        <w:tab/>
        <w:tab/>
        <w:tab/>
        <w:t>)</w:t>
        <w:tab/>
      </w:r>
    </w:p>
    <w:p>
      <w:pPr>
        <w:pStyle w:val="Normal"/>
        <w:jc w:val="both"/>
        <w:rPr>
          <w:sz w:val="24"/>
        </w:rPr>
      </w:pPr>
      <w:r>
        <w:rPr>
          <w:sz w:val="24"/>
        </w:rPr>
        <w:t xml:space="preserve"> </w:t>
      </w:r>
      <w:r>
        <w:rPr>
          <w:sz w:val="24"/>
        </w:rPr>
        <w:t>_________________________________________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jc w:val="both"/>
        <w:rPr>
          <w:sz w:val="24"/>
        </w:rPr>
      </w:pPr>
      <w:r>
        <w:rPr>
          <w:sz w:val="24"/>
        </w:rPr>
        <w:tab/>
        <w:tab/>
        <w:tab/>
        <w:tab/>
        <w:tab/>
        <w:tab/>
        <w:tab/>
        <w:t>)</w:t>
        <w:tab/>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jc w:val="both"/>
        <w:rPr>
          <w:sz w:val="24"/>
        </w:rPr>
      </w:pPr>
      <w:r>
        <w:rPr>
          <w:sz w:val="24"/>
        </w:rPr>
        <w:t>Petition of THE UTILITY REFORM NETWORK</w:t>
        <w:tab/>
        <w:t>)</w:t>
        <w:tab/>
        <w:t xml:space="preserve">   Application 00-10-028</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jc w:val="both"/>
        <w:rPr>
          <w:sz w:val="24"/>
        </w:rPr>
      </w:pPr>
      <w:r>
        <w:rPr>
          <w:sz w:val="24"/>
        </w:rPr>
        <w:t>for Modification of Resolution E-3527.</w:t>
        <w:tab/>
        <w:tab/>
        <w:t>)</w:t>
        <w:tab/>
        <w:t xml:space="preserve"> (Filed October 17, 2000)</w:t>
        <w:tab/>
      </w:r>
    </w:p>
    <w:p>
      <w:pPr>
        <w:pStyle w:val="Normal"/>
        <w:jc w:val="both"/>
        <w:rPr>
          <w:sz w:val="24"/>
        </w:rPr>
      </w:pPr>
      <w:r>
        <w:rPr>
          <w:sz w:val="24"/>
        </w:rPr>
        <w:t>__________________________________________)</w:t>
        <w:tab/>
        <w:tab/>
        <w:tab/>
        <w:tab/>
        <w:tab/>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2"/>
        <w:ind w:hanging="0" w:start="0"/>
        <w:rPr/>
      </w:pPr>
      <w:r>
        <w:rPr/>
        <w:t>BRIEF OF THE SILICON VALLEY MANUFACTURING GROUP</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BodyText"/>
        <w:rPr/>
      </w:pPr>
      <w:r>
        <w:rPr/>
        <w:t xml:space="preserve">In accordance with the schedule established in this proceeding, the Silicon Valley Manufacturing Group (SVMG) hereby submits its brief on cost allocation and rate design issues. </w:t>
      </w:r>
    </w:p>
    <w:p>
      <w:pPr>
        <w:pStyle w:val="Normal"/>
        <w:rPr>
          <w:sz w:val="24"/>
        </w:rPr>
      </w:pPr>
      <w:r>
        <w:rPr>
          <w:sz w:val="24"/>
        </w:rPr>
      </w:r>
    </w:p>
    <w:p>
      <w:pPr>
        <w:pStyle w:val="Normal"/>
        <w:numPr>
          <w:ilvl w:val="0"/>
          <w:numId w:val="2"/>
        </w:numPr>
        <w:rPr>
          <w:sz w:val="24"/>
        </w:rPr>
      </w:pPr>
      <w:r>
        <w:rPr>
          <w:sz w:val="24"/>
        </w:rPr>
        <w:t>Introduction and Summary of Position</w:t>
      </w:r>
    </w:p>
    <w:p>
      <w:pPr>
        <w:pStyle w:val="Normal"/>
        <w:rPr>
          <w:sz w:val="24"/>
        </w:rPr>
      </w:pPr>
      <w:r>
        <w:rPr>
          <w:sz w:val="24"/>
        </w:rPr>
      </w:r>
    </w:p>
    <w:p>
      <w:pPr>
        <w:pStyle w:val="BodyText"/>
        <w:rPr/>
      </w:pPr>
      <w:r>
        <w:rPr/>
        <w:t>While SVMG was not active in the hearings, it has an active interest in this proceeding and supported the work performed by the Bay Area Economic Forum that was presented by Dr. Sean Randolph during the recent hearings.  SVMG supports a revenue allocation and rate design that best meet the test of providing equity for all users and that provide the strongest possible incentives for all users to conserve, enhance reliability, and reasonably protect the needs of California business. Of the proposals in this proceeding, that made by the California Large Energy Consumers Association (CLECA) and the California Manufacturing and Technology Association (CMTA) best meets these criteria and is thus supported by SVMG. In particular, SVMG supports the position taken by CLECA and CMTA on the matters of equity, conservation and related principles (including its emphasis on the importance of reliability considerations) and on revenue allocation.  SVMG also greatly appreciates the Commission’s formal consideration of the findings of the Bay Area Economic Forum in its recent report on the economic impacts of rate increases and reduced system reliability and urges the Commission to be sensitive to such impacts in the development of its decision in this proceeding.  The fair allocation of this unfortunately necessary increase must take into account the impact on the State’s economy and the retention of jobs so that both businesses and individual consumers can meet their obligations, including the payment of their utility bills.</w:t>
      </w:r>
    </w:p>
    <w:p>
      <w:pPr>
        <w:pStyle w:val="Normal"/>
        <w:rPr>
          <w:sz w:val="24"/>
        </w:rPr>
      </w:pPr>
      <w:r>
        <w:rPr>
          <w:sz w:val="24"/>
        </w:rPr>
      </w:r>
    </w:p>
    <w:p>
      <w:pPr>
        <w:pStyle w:val="Normal"/>
        <w:rPr>
          <w:sz w:val="24"/>
        </w:rPr>
      </w:pPr>
      <w:r>
        <w:rPr>
          <w:sz w:val="24"/>
        </w:rPr>
      </w:r>
    </w:p>
    <w:p>
      <w:pPr>
        <w:pStyle w:val="Normal"/>
        <w:rPr>
          <w:sz w:val="24"/>
        </w:rPr>
      </w:pPr>
      <w:r>
        <w:rPr>
          <w:sz w:val="24"/>
        </w:rPr>
        <w:t>IV. Equity, Conservation and Related Principles</w:t>
      </w:r>
    </w:p>
    <w:p>
      <w:pPr>
        <w:pStyle w:val="Normal"/>
        <w:rPr>
          <w:sz w:val="24"/>
        </w:rPr>
      </w:pPr>
      <w:r>
        <w:rPr>
          <w:sz w:val="24"/>
        </w:rPr>
      </w:r>
    </w:p>
    <w:p>
      <w:pPr>
        <w:pStyle w:val="Normal"/>
        <w:rPr>
          <w:sz w:val="24"/>
        </w:rPr>
      </w:pPr>
      <w:r>
        <w:rPr>
          <w:sz w:val="24"/>
        </w:rPr>
        <w:t>This proceeding was designed to allocate the 3 cent per kWh average rate increase adopted by the Commission in D. 01-03-082.  When added to the one cent rate increase adopted by the Commission in D. 01-01-018, the combined increase represents a roughly 40 percent average increase in electricity rates.  Such a large increase will have a very substantial negative impact on businesses and consumers in California and must be allocated in a manner that spreads the increase in a generally proportional manner to all customer classes and avoids undue increases for any group(s) of customers.</w:t>
      </w:r>
    </w:p>
    <w:p>
      <w:pPr>
        <w:pStyle w:val="Normal"/>
        <w:rPr>
          <w:sz w:val="24"/>
        </w:rPr>
      </w:pPr>
      <w:r>
        <w:rPr>
          <w:sz w:val="24"/>
        </w:rPr>
      </w:r>
    </w:p>
    <w:p>
      <w:pPr>
        <w:pStyle w:val="Normal"/>
        <w:rPr>
          <w:sz w:val="24"/>
        </w:rPr>
      </w:pPr>
      <w:r>
        <w:rPr>
          <w:sz w:val="24"/>
        </w:rPr>
        <w:t>SVMG notes that there was no opportunity for party input on the allocation of the initial one cent per kWh increase, given that it was adopted on a emergency basis.  Thus it is essential that this proceeding address the allocation of that increase as well.  The allocation of the one cent increase in D. 01-01-018 has had widely varying impacts on customer classes, ranging from a seven percent increase for small commercial customers to an over 20 percent increase for some large light and power customers.  To take this initial disproportionate increase as a given is to aggravate the combined impact of the two increases and to impose an additionally and unfairly severe burden on larger customers and on the state's economy.</w:t>
      </w:r>
    </w:p>
    <w:p>
      <w:pPr>
        <w:pStyle w:val="Normal"/>
        <w:rPr>
          <w:sz w:val="24"/>
        </w:rPr>
      </w:pPr>
      <w:r>
        <w:rPr>
          <w:sz w:val="24"/>
        </w:rPr>
      </w:r>
    </w:p>
    <w:p>
      <w:pPr>
        <w:pStyle w:val="Normal"/>
        <w:rPr>
          <w:sz w:val="24"/>
        </w:rPr>
      </w:pPr>
      <w:r>
        <w:rPr>
          <w:sz w:val="24"/>
        </w:rPr>
        <w:t>The report of the Bay Area Economic Forum, which was introduced as Exhibit 140, demonstrates clearly that there will be a substantial negative impact on the economy from electric rate increases recently adopted and an even larger impact from expected rolling blackouts due to summer on-peak supply shortages.  Such conclusions clearly apply to the state as a whole.  Any revenue allocation and rate design of the combined four cent increase that does not provide the strongest incentive for all users to conserve will increase the likelihood and extent of rolling blackouts with corresponding negative impacts on the general public as well as business.  A rate design that results in disproportionate increases for business in order to mitigate the impact on other users will not provide the necessary incentives to conserve.</w:t>
      </w:r>
    </w:p>
    <w:p>
      <w:pPr>
        <w:pStyle w:val="Normal"/>
        <w:rPr>
          <w:sz w:val="24"/>
        </w:rPr>
      </w:pPr>
      <w:r>
        <w:rPr>
          <w:sz w:val="24"/>
        </w:rPr>
        <w:t xml:space="preserve"> </w:t>
      </w:r>
    </w:p>
    <w:p>
      <w:pPr>
        <w:pStyle w:val="Normal"/>
        <w:rPr>
          <w:sz w:val="24"/>
        </w:rPr>
      </w:pPr>
      <w:r>
        <w:rPr>
          <w:sz w:val="24"/>
        </w:rPr>
        <w:t xml:space="preserve">The Commission must not adopt increases that are much larger than the average increase for any class of customers and must not unduly subsidize any group of customers.  It must also send clear messages to customers about the need to conserve energy, particularly during the periods when lack of supply and blackouts are most likely.  This means that the increase must be spread, not just proportionally, but in such a way as to provide targeted increases that, through allocation and rate design, best encourage conservation on the part of all customer groups through the use of price signals.   </w:t>
      </w:r>
    </w:p>
    <w:p>
      <w:pPr>
        <w:pStyle w:val="Normal"/>
        <w:rPr>
          <w:sz w:val="24"/>
        </w:rPr>
      </w:pPr>
      <w:r>
        <w:rPr>
          <w:sz w:val="24"/>
        </w:rPr>
      </w:r>
    </w:p>
    <w:p>
      <w:pPr>
        <w:pStyle w:val="Normal"/>
        <w:rPr>
          <w:sz w:val="24"/>
        </w:rPr>
      </w:pPr>
      <w:r>
        <w:rPr>
          <w:sz w:val="24"/>
        </w:rPr>
        <w:t>But conservation per se is not enough.  The adopted cost allocation and rate design must reflect responsibility for costs incurred during those periods when lack of supply combined with high demand would otherwise have the greatest risk of leading to rotating outages.  This is when conservation is most crucial and when the negative impact of the current electricity crisis on the economy is at its highest.  As noted in the Bay Area Economic Forum’s report (Exhibit 140) the forecast damage to the economy from blackouts is even greater than the damage from the high level of recently adopted rate increases. Thus an allocation methodology and a rate design that emphasize responsibility for costs at the system peak and target price increases at times of greatest peak load are crucial to maintaining reliability as well as minimizing costs.  As noted by the Commission’s expert witness, Dr. Borenstein: “We really need the savings at peak summer times”(Tr. 3182-3183).</w:t>
      </w:r>
    </w:p>
    <w:p>
      <w:pPr>
        <w:pStyle w:val="Normal"/>
        <w:rPr>
          <w:sz w:val="24"/>
        </w:rPr>
      </w:pPr>
      <w:r>
        <w:rPr>
          <w:sz w:val="24"/>
        </w:rPr>
      </w:r>
    </w:p>
    <w:p>
      <w:pPr>
        <w:pStyle w:val="Normal"/>
        <w:rPr>
          <w:sz w:val="24"/>
        </w:rPr>
      </w:pPr>
      <w:r>
        <w:rPr>
          <w:sz w:val="24"/>
        </w:rPr>
        <w:t>VI. Revenue Allocation</w:t>
      </w:r>
    </w:p>
    <w:p>
      <w:pPr>
        <w:pStyle w:val="Normal"/>
        <w:rPr>
          <w:sz w:val="24"/>
        </w:rPr>
      </w:pPr>
      <w:r>
        <w:rPr>
          <w:sz w:val="24"/>
        </w:rPr>
      </w:r>
    </w:p>
    <w:p>
      <w:pPr>
        <w:pStyle w:val="Normal"/>
        <w:rPr>
          <w:sz w:val="24"/>
        </w:rPr>
      </w:pPr>
      <w:r>
        <w:rPr>
          <w:sz w:val="24"/>
        </w:rPr>
        <w:t xml:space="preserve">The cost allocation methodology proposed by CLECA and CMTA, the Top 100 Hour method, does the best job of targeting cost responsibility on the basis of contribution of customer classes to energy use at the time of system peak.  It best reflects the load shapes of the different customer classes and the explicit contribution of each class to system peak.  This method also best reflects the contribution of each rate schedule to system peak if it is used for allocation to schedules within the classes, which should be done. </w:t>
      </w:r>
    </w:p>
    <w:p>
      <w:pPr>
        <w:pStyle w:val="Normal"/>
        <w:rPr>
          <w:sz w:val="24"/>
        </w:rPr>
      </w:pPr>
      <w:r>
        <w:rPr>
          <w:sz w:val="24"/>
        </w:rPr>
      </w:r>
    </w:p>
    <w:p>
      <w:pPr>
        <w:pStyle w:val="Normal"/>
        <w:rPr>
          <w:sz w:val="24"/>
        </w:rPr>
      </w:pPr>
      <w:r>
        <w:rPr>
          <w:sz w:val="24"/>
        </w:rPr>
        <w:t>The equal cents per kWh method proposed by ORA, TURN, Aglet, and PG&amp;E does not reflect load shape or contribution to system peak at all.  It does not acknowledge the incurrence of generation capacity-related costs (aka shortage costs) as well as energy costs at times of highest demand.  It treats all commodity costs the same, even though they are demonstrably not the same. It also results in disproportionate rate increases for many customer classes.  For all of these reasons, it should be rejected, both for the initial one cent rate increase and the subsequent three cent average rate increase.</w:t>
      </w:r>
    </w:p>
    <w:p>
      <w:pPr>
        <w:pStyle w:val="Normal"/>
        <w:rPr>
          <w:sz w:val="24"/>
        </w:rPr>
      </w:pPr>
      <w:r>
        <w:rPr>
          <w:sz w:val="24"/>
        </w:rPr>
      </w:r>
    </w:p>
    <w:p>
      <w:pPr>
        <w:pStyle w:val="Normal"/>
        <w:rPr>
          <w:sz w:val="24"/>
        </w:rPr>
      </w:pPr>
      <w:r>
        <w:rPr>
          <w:sz w:val="24"/>
        </w:rPr>
        <w:t>VII. Rate Design</w:t>
      </w:r>
    </w:p>
    <w:p>
      <w:pPr>
        <w:pStyle w:val="Normal"/>
        <w:rPr>
          <w:sz w:val="24"/>
        </w:rPr>
      </w:pPr>
      <w:r>
        <w:rPr>
          <w:sz w:val="24"/>
        </w:rPr>
      </w:r>
    </w:p>
    <w:p>
      <w:pPr>
        <w:pStyle w:val="Normal"/>
        <w:rPr>
          <w:sz w:val="24"/>
        </w:rPr>
      </w:pPr>
      <w:r>
        <w:rPr>
          <w:sz w:val="24"/>
        </w:rPr>
        <w:t xml:space="preserve">The rate design methodologies proposed by CLECA and CMTA both target rate increases at the time of system peak.  SVMG endorses such an approach, since these are the periods of highest cost and greatest risk of outages, and usage during these periods is to be most discouraged in the interest of reliability and the health of the economy. </w:t>
      </w:r>
    </w:p>
    <w:p>
      <w:pPr>
        <w:pStyle w:val="Normal"/>
        <w:rPr>
          <w:sz w:val="24"/>
        </w:rPr>
      </w:pPr>
      <w:r>
        <w:rPr>
          <w:sz w:val="24"/>
        </w:rPr>
      </w:r>
    </w:p>
    <w:p>
      <w:pPr>
        <w:pStyle w:val="Normal"/>
        <w:rPr>
          <w:sz w:val="24"/>
        </w:rPr>
      </w:pPr>
      <w:r>
        <w:rPr>
          <w:sz w:val="24"/>
        </w:rPr>
        <w:t>The ten percent increase for residential and small commercial customers at the end of the rate freeze is not precluded by the passage of ABX1_1.  The electricity charges for these customers as shown on their bills are the charges in effect on June 10, 1996, per AB 1890.   The ten percent credit is a separate item on the bill, which will simply be removed at the time the rate freeze ends.  TURN’s argument to the contrary simply flies in the face of legal reality.</w:t>
      </w:r>
    </w:p>
    <w:p>
      <w:pPr>
        <w:pStyle w:val="Normal"/>
        <w:rPr>
          <w:sz w:val="24"/>
        </w:rPr>
      </w:pPr>
      <w:r>
        <w:rPr>
          <w:sz w:val="24"/>
        </w:rPr>
      </w:r>
    </w:p>
    <w:p>
      <w:pPr>
        <w:pStyle w:val="Normal"/>
        <w:rPr>
          <w:sz w:val="24"/>
        </w:rPr>
      </w:pPr>
      <w:r>
        <w:rPr>
          <w:sz w:val="24"/>
        </w:rPr>
        <w:t>VIII. The Governor’s Proposal</w:t>
      </w:r>
    </w:p>
    <w:p>
      <w:pPr>
        <w:pStyle w:val="Normal"/>
        <w:rPr>
          <w:sz w:val="24"/>
        </w:rPr>
      </w:pPr>
      <w:r>
        <w:rPr>
          <w:sz w:val="24"/>
        </w:rPr>
      </w:r>
    </w:p>
    <w:p>
      <w:pPr>
        <w:pStyle w:val="Normal"/>
        <w:rPr>
          <w:sz w:val="24"/>
        </w:rPr>
      </w:pPr>
      <w:r>
        <w:rPr>
          <w:sz w:val="24"/>
        </w:rPr>
        <w:t>SVMG appreciates the interest shown by the Governor’s office in developing an allocation proposal that is designed to avoid disproportionate increases for any customer class.  Its use of an allocation methodology based on an equal percentage increase in generation costs as embedded in existing rates, which we understand to be the basis of the proposal, would appear to achieve such an end.  SVMG regrets that the Governor’s office could not put on a witness in this proceeding and explain its proposal in more detail.  SVMG believes that it may well have supported the Governor’s proposal if it were better understood.</w:t>
      </w:r>
    </w:p>
    <w:p>
      <w:pPr>
        <w:pStyle w:val="Normal"/>
        <w:rPr>
          <w:sz w:val="24"/>
        </w:rPr>
      </w:pPr>
      <w:r>
        <w:rPr>
          <w:sz w:val="24"/>
        </w:rPr>
      </w:r>
    </w:p>
    <w:p>
      <w:pPr>
        <w:pStyle w:val="Normal"/>
        <w:rPr>
          <w:sz w:val="24"/>
        </w:rPr>
      </w:pPr>
      <w:r>
        <w:rPr>
          <w:sz w:val="24"/>
        </w:rPr>
      </w:r>
    </w:p>
    <w:p>
      <w:pPr>
        <w:pStyle w:val="Normal"/>
        <w:rPr>
          <w:sz w:val="24"/>
        </w:rPr>
      </w:pPr>
      <w:r>
        <w:rPr>
          <w:sz w:val="24"/>
        </w:rPr>
        <w:t xml:space="preserve">X. Market-Based Proposals  </w:t>
      </w:r>
    </w:p>
    <w:p>
      <w:pPr>
        <w:pStyle w:val="Normal"/>
        <w:rPr>
          <w:sz w:val="24"/>
        </w:rPr>
      </w:pPr>
      <w:r>
        <w:rPr>
          <w:sz w:val="24"/>
        </w:rPr>
      </w:r>
    </w:p>
    <w:p>
      <w:pPr>
        <w:pStyle w:val="Normal"/>
        <w:rPr>
          <w:sz w:val="24"/>
        </w:rPr>
      </w:pPr>
      <w:r>
        <w:rPr>
          <w:sz w:val="24"/>
        </w:rPr>
        <w:t xml:space="preserve">SVMG is also very interested in the real-time pricing proposals offered by Dr. Borenstein, the CEC, and Enron.  Such an approach has the potential to provide clear incentives for customers to reduce consumption during hours of greatest likelihood of blackouts and to reduce prices during periods of system peak by reducing demand during those periods, as noted by Dr. Borenstein (Tr. 3171-3172).  Of course, such an approach also requires access to real time load data and to timely hourly day ahead and real time pricing information, which are not currently available.  </w:t>
      </w:r>
    </w:p>
    <w:p>
      <w:pPr>
        <w:pStyle w:val="Normal"/>
        <w:rPr>
          <w:sz w:val="24"/>
        </w:rPr>
      </w:pPr>
      <w:r>
        <w:rPr>
          <w:sz w:val="24"/>
        </w:rPr>
      </w:r>
    </w:p>
    <w:p>
      <w:pPr>
        <w:pStyle w:val="Normal"/>
        <w:rPr/>
      </w:pPr>
      <w:r>
        <w:rPr>
          <w:sz w:val="24"/>
        </w:rPr>
        <w:t xml:space="preserve">SVMG believes, however, that participation in real time pricing should initially be voluntary and that customers should not be forced to choose between this option and taking interruptible service </w:t>
      </w:r>
      <w:r>
        <w:rPr>
          <w:rStyle w:val="FootnoteCharacters"/>
          <w:rStyle w:val="FootnoteReference"/>
          <w:sz w:val="24"/>
        </w:rPr>
        <w:footnoteReference w:id="2"/>
      </w:r>
      <w:r>
        <w:rPr>
          <w:sz w:val="24"/>
        </w:rPr>
        <w:t>.  There is no experience with such a pricing method in California and customers should have an opportunity for experience (or observing the experience of others) before being forced to make such a commitment.  SVMG also strongly supports the concept that some form of real time pricing should also be made available for smaller, e.g., residential and small commercial, customers.  If business agrees to move to real time pricing, smaller users should see more market-based prices as well. Another major concern for SVMG members is the determination of the baseline, since these customers have experienced considerable growth and the last year’s usage is unlikely to be a good standard against which to measure this year’s usage.  Lastly, but not least, real time pricing would have to be implemented in a manner that is revenue neutral, i.e., it is critical that it not provide an excuse to increase the overall allocation and rates for certain customers just because they are exposed to market prices.</w:t>
      </w:r>
    </w:p>
    <w:p>
      <w:pPr>
        <w:pStyle w:val="Normal"/>
        <w:rPr>
          <w:sz w:val="24"/>
        </w:rPr>
      </w:pPr>
      <w:r>
        <w:rPr>
          <w:sz w:val="24"/>
        </w:rPr>
      </w:r>
    </w:p>
    <w:p>
      <w:pPr>
        <w:pStyle w:val="Normal"/>
        <w:rPr>
          <w:sz w:val="24"/>
        </w:rPr>
      </w:pPr>
      <w:r>
        <w:rPr>
          <w:sz w:val="24"/>
        </w:rPr>
        <w:t xml:space="preserve">Given these caveats, SVMG is willing to work with other parties to try to develop a viable real time pricing proposal that could be adopted on a voluntary basis for at least part of this summer if the equipment, data requirements, and billing changes can be implemented.  As part of this effort, it is essential that customers be given the ability to receive real time usage and cost data from the utilities and the ISO so that they may be able to respond to true price signals on a real time basis and that some form of program for smaller customers also be developed in the same time frame.  </w:t>
      </w:r>
    </w:p>
    <w:p>
      <w:pPr>
        <w:pStyle w:val="Normal"/>
        <w:rPr>
          <w:sz w:val="24"/>
        </w:rPr>
      </w:pPr>
      <w:r>
        <w:rPr>
          <w:sz w:val="24"/>
        </w:rPr>
      </w:r>
    </w:p>
    <w:p>
      <w:pPr>
        <w:pStyle w:val="Normal"/>
        <w:rPr>
          <w:sz w:val="24"/>
        </w:rPr>
      </w:pPr>
      <w:r>
        <w:rPr>
          <w:sz w:val="24"/>
        </w:rPr>
        <w:t>XIII. Conclusion</w:t>
      </w:r>
    </w:p>
    <w:p>
      <w:pPr>
        <w:pStyle w:val="Normal"/>
        <w:rPr>
          <w:sz w:val="24"/>
        </w:rPr>
      </w:pPr>
      <w:r>
        <w:rPr>
          <w:sz w:val="24"/>
        </w:rPr>
      </w:r>
    </w:p>
    <w:p>
      <w:pPr>
        <w:pStyle w:val="Normal"/>
        <w:rPr>
          <w:sz w:val="24"/>
        </w:rPr>
      </w:pPr>
      <w:r>
        <w:rPr>
          <w:sz w:val="24"/>
        </w:rPr>
        <w:t>SVMG believes that the decision rendered in its proceeding will have a critical impact on the State’s economy.  While the magnitude of the increase would be highly problematic under any circumstances, the equity, conservation, and reliability impacts of the adopted allocation and rate design will have major consequences for how the increase affects both customers, the economy, and prices in the market.  Only a proportionate increase targeted at providing conservation signals for all customers that emphasize usage reductions at times of the greatest reliability risk can meet the Commission’s goal in a fair and appropriate manner.</w:t>
      </w:r>
    </w:p>
    <w:p>
      <w:pPr>
        <w:pStyle w:val="Normal"/>
        <w:rPr>
          <w:sz w:val="24"/>
        </w:rPr>
      </w:pPr>
      <w:r>
        <w:rPr>
          <w:sz w:val="24"/>
        </w:rPr>
      </w:r>
    </w:p>
    <w:p>
      <w:pPr>
        <w:pStyle w:val="Normal"/>
        <w:rPr>
          <w:sz w:val="24"/>
        </w:rPr>
      </w:pPr>
      <w:r>
        <w:rPr>
          <w:sz w:val="24"/>
        </w:rPr>
      </w:r>
    </w:p>
    <w:p>
      <w:pPr>
        <w:pStyle w:val="Normal"/>
        <w:rPr>
          <w:sz w:val="24"/>
        </w:rPr>
      </w:pPr>
      <w:r>
        <w:rPr>
          <w:sz w:val="24"/>
        </w:rPr>
        <w:t>Dated: April 30, 2001</w:t>
      </w:r>
    </w:p>
    <w:p>
      <w:pPr>
        <w:pStyle w:val="Normal"/>
        <w:rPr>
          <w:sz w:val="24"/>
        </w:rPr>
      </w:pPr>
      <w:r>
        <w:rPr>
          <w:sz w:val="24"/>
        </w:rPr>
      </w:r>
    </w:p>
    <w:p>
      <w:pPr>
        <w:pStyle w:val="Normal"/>
        <w:rPr>
          <w:sz w:val="24"/>
        </w:rPr>
      </w:pPr>
      <w:r>
        <w:rPr>
          <w:sz w:val="24"/>
        </w:rPr>
        <w:t>Respectfully submitted,</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Justin Bradley</w:t>
      </w:r>
    </w:p>
    <w:p>
      <w:pPr>
        <w:pStyle w:val="Normal"/>
        <w:rPr>
          <w:sz w:val="24"/>
        </w:rPr>
      </w:pPr>
      <w:r>
        <w:rPr>
          <w:sz w:val="24"/>
        </w:rPr>
        <w:t>Director of Energy Programs</w:t>
      </w:r>
    </w:p>
    <w:p>
      <w:pPr>
        <w:pStyle w:val="Normal"/>
        <w:rPr>
          <w:sz w:val="24"/>
        </w:rPr>
      </w:pPr>
      <w:r>
        <w:rPr>
          <w:sz w:val="24"/>
        </w:rPr>
        <w:t>Silicon Valley Manufacturing Group</w:t>
      </w:r>
    </w:p>
    <w:p>
      <w:pPr>
        <w:pStyle w:val="Normal"/>
        <w:rPr>
          <w:sz w:val="24"/>
        </w:rPr>
      </w:pPr>
      <w:r>
        <w:rPr>
          <w:sz w:val="24"/>
        </w:rPr>
        <w:t>226 Airport Parkway, Suite 190</w:t>
      </w:r>
    </w:p>
    <w:p>
      <w:pPr>
        <w:pStyle w:val="Normal"/>
        <w:rPr>
          <w:sz w:val="24"/>
        </w:rPr>
      </w:pPr>
      <w:r>
        <w:rPr>
          <w:sz w:val="24"/>
        </w:rPr>
        <w:t>San Jose, California 95110</w:t>
      </w:r>
    </w:p>
    <w:p>
      <w:pPr>
        <w:pStyle w:val="Normal"/>
        <w:rPr>
          <w:sz w:val="24"/>
        </w:rPr>
      </w:pPr>
      <w:r>
        <w:rPr>
          <w:sz w:val="24"/>
        </w:rPr>
        <w:t>(408) 501-7852</w:t>
      </w:r>
    </w:p>
    <w:p>
      <w:pPr>
        <w:pStyle w:val="Normal"/>
        <w:rPr>
          <w:sz w:val="24"/>
        </w:rPr>
      </w:pPr>
      <w:r>
        <w:rPr>
          <w:sz w:val="24"/>
        </w:rPr>
      </w:r>
    </w:p>
    <w:p>
      <w:pPr>
        <w:pStyle w:val="Normal"/>
        <w:jc w:val="both"/>
        <w:rPr>
          <w:sz w:val="24"/>
        </w:rPr>
      </w:pPr>
      <w:r>
        <w:rPr>
          <w:sz w:val="24"/>
        </w:rPr>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21" w:end="360"/>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4414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4414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1.3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9">
              <wp:simplePos x="0" y="0"/>
              <wp:positionH relativeFrom="page">
                <wp:posOffset>6948170</wp:posOffset>
              </wp:positionH>
              <wp:positionV relativeFrom="paragraph">
                <wp:posOffset>17145</wp:posOffset>
              </wp:positionV>
              <wp:extent cx="14605" cy="14414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44145"/>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1.35pt;mso-wrap-distance-left:0pt;mso-wrap-distance-right:0pt;mso-wrap-distance-top:0pt;mso-wrap-distance-bottom:0pt;margin-top:1.35pt;mso-position-vertical-relative:text;margin-left:547.1pt;mso-position-horizontal-relative:page">
              <v:fill opacity="0f"/>
              <v:textbox inset="0in,0in,0in,0in">
                <w:txbxContent>
                  <w:p>
                    <w:pPr>
                      <w:pStyle w:val="Foot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sz w:val="24"/>
        </w:rPr>
        <w:t>as suggested by Dr. Borenstein at Tr. 3167</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480"/>
      <w:ind w:hanging="7200" w:start="7200" w:end="0"/>
      <w:jc w:val="both"/>
      <w:outlineLvl w:val="0"/>
    </w:pPr>
    <w:rPr>
      <w:rFonts w:ascii="Courier;Courier New" w:hAnsi="Courier;Courier New" w:cs="Courier;Courier New"/>
      <w:sz w:val="24"/>
      <w:lang w:eastAsia="en-US"/>
    </w:rPr>
  </w:style>
  <w:style w:type="paragraph" w:styleId="Heading2">
    <w:name w:val="heading 2"/>
    <w:basedOn w:val="Normal"/>
    <w:next w:val="Normal"/>
    <w:qFormat/>
    <w:pPr>
      <w:keepNext w:val="true"/>
      <w:numPr>
        <w:ilvl w:val="1"/>
        <w:numId w:val="1"/>
      </w:numPr>
      <w:jc w:val="center"/>
      <w:outlineLvl w:val="1"/>
    </w:pPr>
    <w:rPr>
      <w:sz w:val="24"/>
    </w:rPr>
  </w:style>
  <w:style w:type="character" w:styleId="WW8Num4z0">
    <w:name w:val="WW8Num4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BulletList">
    <w:name w:val="1Bullet List"/>
    <w:qFormat/>
    <w:pPr>
      <w:widowControl w:val="false"/>
      <w:tabs>
        <w:tab w:val="left" w:pos="720" w:leader="none"/>
      </w:tabs>
      <w:bidi w:val="0"/>
      <w:ind w:hanging="720" w:start="720" w:end="0"/>
      <w:jc w:val="both"/>
    </w:pPr>
    <w:rPr>
      <w:rFonts w:ascii="Courier;Courier New" w:hAnsi="Courier;Courier New" w:eastAsia="Times New Roman" w:cs="Courier;Courier New"/>
      <w:color w:val="auto"/>
      <w:sz w:val="24"/>
      <w:szCs w:val="20"/>
      <w:lang w:val="en-US" w:eastAsia="en-US"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rFonts w:ascii="Courier;Courier New" w:hAnsi="Courier;Courier New" w:cs="Courier;Courier New"/>
      <w:lang w:eastAsia="en-US"/>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2001-04-30T16:01:00Z</dcterms:created>
  <dc:creator>Barbara R. Barkovich</dc:creator>
  <dc:description/>
  <dc:language>en-CA</dc:language>
  <cp:lastModifiedBy>Barbara R. Barkovich</cp:lastModifiedBy>
  <dcterms:modified xsi:type="dcterms:W3CDTF">2001-04-30T16:01:00Z</dcterms:modified>
  <cp:revision>2</cp:revision>
  <dc:subject/>
  <dc:title> BEFORE THE PUBLIC UTILITIES COMMISSION OF THE</dc:title>
</cp:coreProperties>
</file>