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BEFORE THE PUBLIC UTILITIES COMMISION OF THE STATE OF CALIFORNAIA</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Order Instituting Rulemaking into the Operation of Interruptible Loads Program Offered by Pacific Gas &amp; Electric, San Diego Gas and Electric, and Southern California Edison and the effects of these programs on Energy Prices, other Demand Responsiveness Programs,  and Reliability of the Electric System.</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CPUC Docket No. R 00-10-002</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COMMENTS OF THE SILICON VALLEY MANUFACTURING GROUP</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ON PG&amp;EÕS PROPOSED</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OPTIONAL BINDING MANDATORY CURTAILMENT PROGRAM</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March 7, 2001</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INTRODUCTION</w:t>
      </w:r>
    </w:p>
    <w:p>
      <w:pPr>
        <w:pStyle w:val="Style14"/>
        <w:pBdr>
          <w:top w:val="single" w:sz="6" w:space="0" w:color="000000"/>
          <w:left w:val="single" w:sz="6" w:space="0" w:color="000000"/>
          <w:bottom w:val="single" w:sz="6" w:space="0" w:color="000000"/>
          <w:right w:val="single" w:sz="6" w:space="0" w:color="000000"/>
        </w:pBdr>
        <w:tabs>
          <w:tab w:val="clear" w:pos="720"/>
          <w:tab w:val="left" w:pos="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tab/>
      </w:r>
      <w:r>
        <w:rPr>
          <w:rFonts w:eastAsia="Times New Roman" w:cs="Times New Roman" w:ascii="Times New Roman" w:hAnsi="Times New Roman"/>
          <w:sz w:val="24"/>
          <w:szCs w:val="24"/>
        </w:rPr>
        <w:t xml:space="preserve">California has experienced months of ongoing energy crisis, with no end in sight.  The Silicon Valley Manufacturing Group (SVMG) is committed to helping provide demand reductions that will lead to lower costs to consumers and improve system reliability.  Last summer SVMG companies organized the ‘Blackout Busters’ program to find cooperative solutions to the peak load problem.  </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PG&amp;E’s ‘Optional Binding Mandatory Curtailment’ (OBMC) program is vitally important to SVMG member companies because while we are willing to reduce demand in response to system needs, the nature of our businesses require our remaining load to not be interrupted.  OBMC is intended to provide that sort of reliability to companies that can reduce their load by 20%.  We are concerned, however, that the current proposal has critical shortcomings that will render the program useless to both SVMG members, as well as PG&amp;E customers as a whole.  SVMG wants the OBMC program to succeed, because we believe that only by working together will we find workable solutions to the energy crisis.</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SVMG CONCERNS</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SVMG has the following specific concerns with the OBMC program as proposed by PG&amp;E:</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The 20% reduction is too large to be practical and attractive to businesses.</w:t>
      </w:r>
      <w:r>
        <w:rPr>
          <w:rFonts w:eastAsia="Times New Roman" w:cs="Times New Roman" w:ascii="Times New Roman" w:hAnsi="Times New Roman"/>
          <w:sz w:val="24"/>
          <w:szCs w:val="24"/>
        </w:rPr>
        <w:t xml:space="preserve">            Maintaining electricity service is vitally important to many companies, but most cannot commit to 20% reductions in electricity use on short term notice.  Silicon Valley Power only asks customers for a 10% commitment in order to be exempted from rotating outages, and their program has been successful in attracting the participation of many companies in their service area.  The fact that PG&amp;E has had the OBMC program since 1980 and has less than five participating companies is an indication of the unattractiveness of their program.  </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While some companies may participate in a 20% reduction program, we believe the CPUC would get greater reduction and benefits for all ratepayers by asking for a smaller load reduction commitment.</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PG&amp;E has made the ‘trigger’ for OBMC prior the institution of Stage 3 rotating outages.</w:t>
      </w:r>
      <w:r>
        <w:rPr>
          <w:rFonts w:eastAsia="Times New Roman" w:cs="Times New Roman" w:ascii="Times New Roman" w:hAnsi="Times New Roman"/>
          <w:sz w:val="24"/>
          <w:szCs w:val="24"/>
        </w:rPr>
        <w:t xml:space="preserve">  Since California was in Stage 3 for practically the whole month of January, this creates the possibility that 20% reductions in order to maintain reliable service a daily occurrence.  This is another factor that reduces the attractiveness of OBMC, and hence reduces the effectiveness of the program.</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OBMC requires a 20% load reduction on top of the 10% reduction the Governor has asked for from businesses.</w:t>
      </w:r>
      <w:r>
        <w:rPr>
          <w:rFonts w:eastAsia="Times New Roman" w:cs="Times New Roman" w:ascii="Times New Roman" w:hAnsi="Times New Roman"/>
          <w:sz w:val="24"/>
          <w:szCs w:val="24"/>
        </w:rPr>
        <w:t xml:space="preserve">  SVMG members want to do their part to conserve energy with long term investments in energy efficiency.  But OBMC creates a dilemma because efficiency investments reduce the baseline energy use against which the 20% reduction for OBMC is judged.  The CPUC needs to clarify how these potentially competing programs will work so companies do not have to choose between meeting their public commitment to the Governor’s goals and their business requirement for reliable electric service.</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OBMC proposes to include transmission level customers, who have made their own investments in order to receive reliable service.</w:t>
      </w:r>
      <w:r>
        <w:rPr>
          <w:rFonts w:eastAsia="Times New Roman" w:cs="Times New Roman" w:ascii="Times New Roman" w:hAnsi="Times New Roman"/>
          <w:sz w:val="24"/>
          <w:szCs w:val="24"/>
        </w:rPr>
        <w:t xml:space="preserve">  Customers who have made investments in transmission level service should not be downgraded to the reliability level that other customers have who did not made those investments.  To do so would discourage companies in the future from making investments in their own reliability needs.</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SVMG PROPOSALS</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The required load reduction should be smaller in order to qualify for OBMC, and the increments should be smaller.</w:t>
      </w:r>
      <w:r>
        <w:rPr>
          <w:rFonts w:eastAsia="Times New Roman" w:cs="Times New Roman" w:ascii="Times New Roman" w:hAnsi="Times New Roman"/>
          <w:sz w:val="24"/>
          <w:szCs w:val="24"/>
        </w:rPr>
        <w:t xml:space="preserve">  For the program to be realistic and attractive to the maximum load reduction, the requirement should be 10% instead of 20%, and the increments should be four steps of 2.5% instead of 5%.</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An alternative would to curtail demand  by 1% more than what PG&amp;E is required to curtail. Therefore, if PG&amp;E is required to curtail by 2%, the OBMC participant will be required to curtail by 3% (i.e., 2%+1%). Similarly, if PG&amp;E is required to curtail demand by 9%, the OBMC participant will be required to curtail by 10%. The additional one percentage point is to compensate for the ‘emergency load’ such as hospitals, police stations, etc., that PG&amp;E can not put under rolling blackouts.</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 xml:space="preserve">The trigger point for OBMC should be parallel (rather than prior) to when PG&amp;E institutes Stage 3 rolling blackouts. </w:t>
      </w:r>
      <w:r>
        <w:rPr>
          <w:rFonts w:eastAsia="Times New Roman" w:cs="Times New Roman" w:ascii="Times New Roman" w:hAnsi="Times New Roman"/>
          <w:sz w:val="24"/>
          <w:szCs w:val="24"/>
        </w:rPr>
        <w:t xml:space="preserve">  Only the first stage of demand reduction will be called prior to any rolling blackouts. However, the second stage of demand reduction will be called only after PG&amp;E has gone through its rotating blackouts on its grid and has achieved at least 2.5% total reduction.  When PG&amp;E is required to curtail demand by more than 2.5% but less than 5%, the second stage of demand reduction will be called. Similarly, the third stage will be called when PG&amp;E is required to curtail demand between 5 and 7.5%, and the fourth stage when it is required to curtail between 7.5 % and above.</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Baseline definition should be  calculated by either of the following two methods as selected by the customer:</w:t>
      </w:r>
      <w:r>
        <w:rPr>
          <w:rFonts w:eastAsia="Times New Roman" w:cs="Times New Roman" w:ascii="Times New Roman" w:hAnsi="Times New Roman"/>
          <w:sz w:val="24"/>
          <w:szCs w:val="24"/>
        </w:rPr>
        <w:t xml:space="preserve"> (1) monthly peak baseline equal to monthly peak usage of the year 2000; or (2) daily peak demand equal to the previous 10-business days rolling average, adjusted appropriately by ambient temperature.  The choice between two methods would allow the customer to select their preference and would be more equitable and easy to implement than other options. For example, the first method may be preferred by relatively moderate growth businesses whereas the second method may be preferred by rapidly growing businesses.  </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 suitable correction factor must be developed to ‘normalize’ the 10-business day rolling average for ambient temperature variations.  The 10-business day rolling average proposed here is different than what PG&amp;E has proposed. We are proposing one number equal to the average of the peaks of the previous10 days. PG&amp;E proposes to use a hour-by-hour or minute-by-minute profile, which we believe will complicate calculations and implementation.</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 xml:space="preserve">The relationship of the Governor’s 10% conservation goal and the 20% OBMC reduction need to be clarified. </w:t>
      </w:r>
      <w:r>
        <w:rPr>
          <w:rFonts w:eastAsia="Times New Roman" w:cs="Times New Roman" w:ascii="Times New Roman" w:hAnsi="Times New Roman"/>
          <w:sz w:val="24"/>
          <w:szCs w:val="24"/>
        </w:rPr>
        <w:t xml:space="preserve">  SVMG companies agree with and support the Governor’s call for a 10% energy use reduction by businesses.  We also want the OBMC program to work.  We are concerned that because reliability is of paramount importance to most SVMG companies, that they will forgo efficiency investments in order to ensure they can meet the 20% OBMC target they need to meet in order to avoid rotating outages.  We realize this is a complicated issue, but we hope there can be some thoughtful dialogue on this issue so businesses have a clear understanding what goals they are expected to meet.</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u w:val="single"/>
        </w:rPr>
        <w:t>Transmission level customers should not be included in the OBMC program.</w:t>
      </w:r>
      <w:r>
        <w:rPr>
          <w:rFonts w:eastAsia="Times New Roman" w:cs="Times New Roman" w:ascii="Times New Roman" w:hAnsi="Times New Roman"/>
          <w:sz w:val="24"/>
          <w:szCs w:val="24"/>
        </w:rPr>
        <w:t xml:space="preserve"> Instead there should be a separate and simple program for them. These customers should be asked to give up demand in the same proportion as is required of PG&amp;E or others utility distribution companies. Therefore, if PG&amp;E is asked to reduce demand by 3%, PG&amp;E should in turn only impose the transmission level customers a 3% curtailment. The monitoring should be simple: measure the demand before and after the call for curtailment. This will make the transmission level customers contribute their fair share in load curtailment to the same extent as utility distribution companies. It is, of course, expected of these customers that they have already contributed 10% reduction through efficiency and conservation measures as called for by the Governor. </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CONCLUSION</w:t>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yle14"/>
        <w:pBdr>
          <w:top w:val="single" w:sz="6" w:space="0" w:color="000000"/>
          <w:left w:val="single" w:sz="6" w:space="0" w:color="000000"/>
          <w:bottom w:val="single" w:sz="6" w:space="0" w:color="000000"/>
          <w:right w:val="single" w:sz="6" w:space="0" w:color="000000"/>
        </w:pBdr>
        <w:tabs>
          <w:tab w:val="left" w:pos="0" w:leader="none"/>
          <w:tab w:val="left" w:pos="7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spacing w:lineRule="atLeas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SVMG companies are committed to working with the CPUC and PG&amp;E in developing a workable and successful reliability program for this summer.  We look forward to future discussions with all interested parties on this issue.</w:t>
      </w:r>
    </w:p>
    <w:sectPr>
      <w:type w:val="nextPage"/>
      <w:pgSz w:w="12240" w:h="15840"/>
      <w:pgMar w:left="144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 w:name="Chicago">
    <w:altName w:val="Arial"/>
    <w:charset w:val="01"/>
    <w:family w:val="auto"/>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WPDefaults">
    <w:name w:val="WP_WP Defaults"/>
    <w:qFormat/>
    <w:pPr>
      <w:widowControl w:val="false"/>
      <w:bidi w:val="0"/>
    </w:pPr>
    <w:rPr>
      <w:rFonts w:ascii="Times" w:hAnsi="Times" w:eastAsia="Times" w:cs="Times"/>
      <w:color w:val="auto"/>
      <w:sz w:val="24"/>
      <w:szCs w:val="24"/>
      <w:lang w:val="en-US" w:eastAsia="zh-CN" w:bidi="hi-IN"/>
    </w:rPr>
  </w:style>
  <w:style w:type="paragraph" w:styleId="WPNormal">
    <w:name w:val="WP_Normal"/>
    <w:basedOn w:val="WPWPDefaults"/>
    <w:qFormat/>
    <w:pPr/>
    <w:rPr>
      <w:rFonts w:ascii="Chicago;Arial" w:hAnsi="Chicago;Arial" w:eastAsia="Chicago;Arial" w:cs="Chicago;Arial"/>
      <w:sz w:val="20"/>
      <w:szCs w:val="20"/>
    </w:rPr>
  </w:style>
  <w:style w:type="paragraph" w:styleId="DefaultParagraphFon">
    <w:name w:val="Default Paragraph Fon"/>
    <w:qFormat/>
    <w:pPr>
      <w:widowControl w:val="false"/>
      <w:bidi w:val="0"/>
    </w:pPr>
    <w:rPr>
      <w:rFonts w:ascii="Times New Roman" w:hAnsi="Times New Roman" w:eastAsia="Times New Roman" w:cs="Times New Roman"/>
      <w:color w:val="000000"/>
      <w:sz w:val="20"/>
      <w:szCs w:val="20"/>
      <w:lang w:val="en-US" w:eastAsia="zh-CN" w:bidi="hi-IN"/>
    </w:rPr>
  </w:style>
  <w:style w:type="paragraph" w:styleId="Word4095Null">
    <w:name w:val="Word4095Null"/>
    <w:qFormat/>
    <w:pPr>
      <w:widowControl w:val="false"/>
      <w:pBdr>
        <w:top w:val="single" w:sz="6" w:space="0" w:color="000000"/>
        <w:left w:val="single" w:sz="6" w:space="0" w:color="000000"/>
        <w:bottom w:val="single" w:sz="6" w:space="0" w:color="000000"/>
        <w:right w:val="single" w:sz="6" w:space="0" w:color="000000"/>
      </w:pBdr>
      <w:bidi w:val="0"/>
      <w:spacing w:lineRule="atLeast" w:line="240"/>
    </w:pPr>
    <w:rPr>
      <w:rFonts w:ascii="Times New Roman" w:hAnsi="Times New Roman" w:eastAsia="Times New Roman" w:cs="Times New Roman"/>
      <w:color w:val="000000"/>
      <w:sz w:val="20"/>
      <w:szCs w:val="20"/>
      <w:lang w:val="en-US" w:eastAsia="zh-CN" w:bidi="hi-IN"/>
    </w:rPr>
  </w:style>
  <w:style w:type="paragraph" w:styleId="Style14">
    <w:name w:val="Style"/>
    <w:basedOn w:val="Word4095Null"/>
    <w:qFormat/>
    <w:pPr>
      <w:pBdr>
        <w:top w:val="nil"/>
        <w:left w:val="nil"/>
        <w:bottom w:val="nil"/>
        <w:right w:val="nil"/>
      </w:pBdr>
      <w:spacing w:lineRule="auto" w:line="240"/>
    </w:pPr>
    <w:rPr>
      <w:rFonts w:ascii="Chicago;Arial" w:hAnsi="Chicago;Arial" w:eastAsia="Chicago;Arial" w:cs="Chicago;Arial"/>
      <w:color w:val="auto"/>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2001-03-09T15:13:00Z</dcterms:created>
  <dc:creator>Oracle Corp</dc:creator>
  <dc:description/>
  <dc:language>en-CA</dc:language>
  <cp:lastModifiedBy>Oracle Corp</cp:lastModifiedBy>
  <dcterms:modified xsi:type="dcterms:W3CDTF">2001-03-09T15:13:00Z</dcterms:modified>
  <cp:revision>2</cp:revision>
  <dc:subject/>
  <dc:title>COMMENTS OF THE SILICON VALLEY MANUFACTURING GROUP</dc:title>
</cp:coreProperties>
</file>