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ind w:firstLine="720" w:start="1440" w:end="0"/>
        <w:rPr>
          <w:b/>
        </w:rPr>
      </w:pPr>
      <w:r>
        <w:rPr>
          <w:b/>
        </w:rPr>
        <w:t>SUMMARY OF USE OF SPECIFIED ENTITY, SPECIFIED</w:t>
      </w:r>
    </w:p>
    <w:p>
      <w:pPr>
        <w:pStyle w:val="Heading1"/>
        <w:rPr/>
      </w:pPr>
      <w:r>
        <w:rPr/>
        <w:t xml:space="preserve"> </w:t>
      </w:r>
      <w:r>
        <w:rPr/>
        <w:t>TRANSACTION AND SPECIFIED CONDITION</w:t>
      </w:r>
    </w:p>
    <w:p>
      <w:pPr>
        <w:pStyle w:val="Normal"/>
        <w:rPr>
          <w:b/>
        </w:rPr>
      </w:pPr>
      <w:r>
        <w:rPr>
          <w:b/>
        </w:rPr>
      </w:r>
    </w:p>
    <w:p>
      <w:pPr>
        <w:pStyle w:val="Normal"/>
        <w:rPr>
          <w:b/>
        </w:rPr>
      </w:pPr>
      <w:r>
        <w:rPr>
          <w:b/>
        </w:rPr>
      </w:r>
    </w:p>
    <w:p>
      <w:pPr>
        <w:pStyle w:val="Normal"/>
        <w:rPr>
          <w:b/>
        </w:rPr>
      </w:pPr>
      <w:r>
        <w:rPr>
          <w:b/>
        </w:rPr>
      </w:r>
    </w:p>
    <w:p>
      <w:pPr>
        <w:pStyle w:val="Normal"/>
        <w:numPr>
          <w:ilvl w:val="0"/>
          <w:numId w:val="2"/>
        </w:numPr>
        <w:jc w:val="both"/>
        <w:rPr/>
      </w:pPr>
      <w:r>
        <w:rPr>
          <w:b/>
        </w:rPr>
        <w:t>SPECIFIED ENTITY AND SPECIFIED TRANSACTION</w:t>
      </w:r>
    </w:p>
    <w:p>
      <w:pPr>
        <w:pStyle w:val="Normal"/>
        <w:jc w:val="both"/>
        <w:rPr/>
      </w:pPr>
      <w:r>
        <w:rPr/>
      </w:r>
    </w:p>
    <w:p>
      <w:pPr>
        <w:pStyle w:val="Normal"/>
        <w:jc w:val="both"/>
        <w:rPr/>
      </w:pPr>
      <w:r>
        <w:rPr/>
      </w:r>
    </w:p>
    <w:p>
      <w:pPr>
        <w:pStyle w:val="Normal"/>
        <w:numPr>
          <w:ilvl w:val="0"/>
          <w:numId w:val="3"/>
        </w:numPr>
        <w:jc w:val="both"/>
        <w:rPr/>
      </w:pPr>
      <w:r>
        <w:rPr/>
        <w:t>Section 5(a)(v) of ISDA – Default Under Specified Transaction:</w:t>
      </w:r>
    </w:p>
    <w:p>
      <w:pPr>
        <w:pStyle w:val="Normal"/>
        <w:jc w:val="both"/>
        <w:rPr/>
      </w:pPr>
      <w:r>
        <w:rPr/>
      </w:r>
    </w:p>
    <w:p>
      <w:pPr>
        <w:pStyle w:val="Normal"/>
        <w:numPr>
          <w:ilvl w:val="0"/>
          <w:numId w:val="4"/>
        </w:numPr>
        <w:jc w:val="both"/>
        <w:rPr/>
      </w:pPr>
      <w:r>
        <w:rPr/>
        <w:t xml:space="preserve">Specified Transaction – any financial derivative transaction between one party to the ISDA </w:t>
      </w:r>
      <w:r>
        <w:rPr>
          <w:rFonts w:cs="Times New Roman Bold" w:ascii="Times New Roman Bold" w:hAnsi="Times New Roman Bold"/>
          <w:b/>
        </w:rPr>
        <w:t>or</w:t>
      </w:r>
      <w:r>
        <w:rPr/>
        <w:t xml:space="preserve"> its Credit Support Provider </w:t>
      </w:r>
      <w:r>
        <w:rPr>
          <w:b/>
        </w:rPr>
        <w:t xml:space="preserve">or </w:t>
      </w:r>
      <w:r>
        <w:rPr/>
        <w:t xml:space="preserve">any Specified Entity of such party and the other party to the ISDA </w:t>
      </w:r>
      <w:r>
        <w:rPr>
          <w:b/>
        </w:rPr>
        <w:t>or</w:t>
      </w:r>
      <w:r>
        <w:rPr/>
        <w:t xml:space="preserve"> its Credit Support Provider</w:t>
      </w:r>
      <w:r>
        <w:rPr>
          <w:b/>
        </w:rPr>
        <w:t xml:space="preserve"> or </w:t>
      </w:r>
      <w:r>
        <w:rPr/>
        <w:t>any Specified Entity of such party.  This definition can be expanded to include other types of transactions such as physical commodity transactions.</w:t>
      </w:r>
    </w:p>
    <w:p>
      <w:pPr>
        <w:pStyle w:val="Normal"/>
        <w:jc w:val="both"/>
        <w:rPr/>
      </w:pPr>
      <w:r>
        <w:rPr/>
      </w:r>
    </w:p>
    <w:p>
      <w:pPr>
        <w:pStyle w:val="Normal"/>
        <w:numPr>
          <w:ilvl w:val="0"/>
          <w:numId w:val="4"/>
        </w:numPr>
        <w:jc w:val="both"/>
        <w:rPr/>
      </w:pPr>
      <w:r>
        <w:rPr/>
        <w:t>If a “Specified Entity” is designated for this Section, then any default by such Specified Entity with respect to a Specified Transaction that it has entered into with the other party, or its Credit Support Provider or any Specified Entity of such party can cause an “Event of Default” under the ISDA.</w:t>
      </w:r>
    </w:p>
    <w:p>
      <w:pPr>
        <w:pStyle w:val="Normal"/>
        <w:jc w:val="both"/>
        <w:rPr/>
      </w:pPr>
      <w:r>
        <w:rPr/>
      </w:r>
    </w:p>
    <w:p>
      <w:pPr>
        <w:pStyle w:val="Normal"/>
        <w:jc w:val="both"/>
        <w:rPr/>
      </w:pPr>
      <w:r>
        <w:rPr/>
      </w:r>
    </w:p>
    <w:p>
      <w:pPr>
        <w:pStyle w:val="Normal"/>
        <w:jc w:val="both"/>
        <w:rPr/>
      </w:pPr>
      <w:r>
        <w:rPr/>
      </w:r>
    </w:p>
    <w:p>
      <w:pPr>
        <w:pStyle w:val="Normal"/>
        <w:numPr>
          <w:ilvl w:val="0"/>
          <w:numId w:val="3"/>
        </w:numPr>
        <w:jc w:val="both"/>
        <w:rPr/>
      </w:pPr>
      <w:r>
        <w:rPr/>
        <w:t>Section 5(a)(vi) – Cross Default</w:t>
      </w:r>
    </w:p>
    <w:p>
      <w:pPr>
        <w:pStyle w:val="Normal"/>
        <w:jc w:val="both"/>
        <w:rPr/>
      </w:pPr>
      <w:r>
        <w:rPr/>
      </w:r>
    </w:p>
    <w:p>
      <w:pPr>
        <w:pStyle w:val="Normal"/>
        <w:jc w:val="both"/>
        <w:rPr/>
      </w:pPr>
      <w:r>
        <w:rPr/>
      </w:r>
    </w:p>
    <w:p>
      <w:pPr>
        <w:pStyle w:val="Normal"/>
        <w:numPr>
          <w:ilvl w:val="0"/>
          <w:numId w:val="4"/>
        </w:numPr>
        <w:jc w:val="both"/>
        <w:rPr/>
      </w:pPr>
      <w:r>
        <w:rPr/>
        <w:t>If a “Specified Entity” is designated for this Section, then any default by such Specified Entity with respect to any Indebtedness of such Specified Entity can cause an “Event of Default” under the ISDA</w:t>
        <w:tab/>
        <w:t xml:space="preserve"> </w:t>
      </w:r>
    </w:p>
    <w:p>
      <w:pPr>
        <w:pStyle w:val="Normal"/>
        <w:jc w:val="both"/>
        <w:rPr/>
      </w:pPr>
      <w:r>
        <w:rPr/>
      </w:r>
    </w:p>
    <w:p>
      <w:pPr>
        <w:pStyle w:val="Normal"/>
        <w:jc w:val="both"/>
        <w:rPr/>
      </w:pPr>
      <w:r>
        <w:rPr/>
      </w:r>
    </w:p>
    <w:p>
      <w:pPr>
        <w:pStyle w:val="Normal"/>
        <w:numPr>
          <w:ilvl w:val="0"/>
          <w:numId w:val="3"/>
        </w:numPr>
        <w:jc w:val="both"/>
        <w:rPr/>
      </w:pPr>
      <w:r>
        <w:rPr/>
        <w:t>Section 5(a)(vii) – Bankruptcy</w:t>
      </w:r>
    </w:p>
    <w:p>
      <w:pPr>
        <w:pStyle w:val="Normal"/>
        <w:jc w:val="both"/>
        <w:rPr/>
      </w:pPr>
      <w:r>
        <w:rPr/>
      </w:r>
    </w:p>
    <w:p>
      <w:pPr>
        <w:pStyle w:val="Normal"/>
        <w:jc w:val="both"/>
        <w:rPr/>
      </w:pPr>
      <w:r>
        <w:rPr/>
      </w:r>
    </w:p>
    <w:p>
      <w:pPr>
        <w:pStyle w:val="Normal"/>
        <w:numPr>
          <w:ilvl w:val="0"/>
          <w:numId w:val="4"/>
        </w:numPr>
        <w:jc w:val="both"/>
        <w:rPr/>
      </w:pPr>
      <w:r>
        <w:rPr/>
        <w:t>If a “Specified Entity” is designated for this Section, then any bankruptcy of such Specified Entity can cause an “Event of Default” under the ISDA</w:t>
      </w:r>
    </w:p>
    <w:p>
      <w:pPr>
        <w:pStyle w:val="Normal"/>
        <w:jc w:val="both"/>
        <w:rPr/>
      </w:pPr>
      <w:r>
        <w:rPr/>
      </w:r>
    </w:p>
    <w:p>
      <w:pPr>
        <w:pStyle w:val="Normal"/>
        <w:jc w:val="both"/>
        <w:rPr/>
      </w:pPr>
      <w:r>
        <w:rPr/>
      </w:r>
    </w:p>
    <w:p>
      <w:pPr>
        <w:pStyle w:val="Normal"/>
        <w:numPr>
          <w:ilvl w:val="0"/>
          <w:numId w:val="3"/>
        </w:numPr>
        <w:jc w:val="both"/>
        <w:rPr/>
      </w:pPr>
      <w:r>
        <w:rPr/>
        <w:t>Section 5(b)(iv) – Credit Event Upon Merger</w:t>
      </w:r>
    </w:p>
    <w:p>
      <w:pPr>
        <w:pStyle w:val="Normal"/>
        <w:jc w:val="both"/>
        <w:rPr/>
      </w:pPr>
      <w:r>
        <w:rPr/>
      </w:r>
    </w:p>
    <w:p>
      <w:pPr>
        <w:pStyle w:val="Normal"/>
        <w:jc w:val="both"/>
        <w:rPr/>
      </w:pPr>
      <w:r>
        <w:rPr/>
      </w:r>
    </w:p>
    <w:p>
      <w:pPr>
        <w:pStyle w:val="Normal"/>
        <w:numPr>
          <w:ilvl w:val="0"/>
          <w:numId w:val="4"/>
        </w:numPr>
        <w:jc w:val="both"/>
        <w:rPr/>
      </w:pPr>
      <w:r>
        <w:rPr/>
        <w:t>If a “Specified Entity” is designated for this Section and such Specified Entity consolidates or merges with, or sells substantially all of its assets to another entity and the creditworthiness of the surviving or transferee entity is materially weaker than that of the Specified Entity prior to such event, then a Termination Event under the ISDA occurs.</w:t>
      </w:r>
    </w:p>
    <w:p>
      <w:pPr>
        <w:pStyle w:val="Normal"/>
        <w:jc w:val="both"/>
        <w:rPr/>
      </w:pPr>
      <w:r>
        <w:rPr/>
      </w:r>
    </w:p>
    <w:p>
      <w:pPr>
        <w:pStyle w:val="Normal"/>
        <w:jc w:val="both"/>
        <w:rPr/>
      </w:pPr>
      <w:r>
        <w:rPr/>
        <w:t xml:space="preserve"> </w:t>
      </w:r>
    </w:p>
    <w:p>
      <w:pPr>
        <w:pStyle w:val="Normal"/>
        <w:jc w:val="both"/>
        <w:rPr/>
      </w:pPr>
      <w:r>
        <w:rPr/>
      </w:r>
    </w:p>
    <w:p>
      <w:pPr>
        <w:pStyle w:val="Heading2"/>
        <w:numPr>
          <w:ilvl w:val="0"/>
          <w:numId w:val="2"/>
        </w:numPr>
        <w:ind w:hanging="0" w:start="0"/>
        <w:jc w:val="both"/>
        <w:rPr/>
      </w:pPr>
      <w:r>
        <w:rPr/>
        <w:t>SPECIFIED CONDITION</w:t>
      </w:r>
    </w:p>
    <w:p>
      <w:pPr>
        <w:pStyle w:val="Normal"/>
        <w:jc w:val="both"/>
        <w:rPr/>
      </w:pPr>
      <w:r>
        <w:rPr/>
      </w:r>
    </w:p>
    <w:p>
      <w:pPr>
        <w:pStyle w:val="Normal"/>
        <w:jc w:val="both"/>
        <w:rPr/>
      </w:pPr>
      <w:r>
        <w:rPr/>
      </w:r>
    </w:p>
    <w:p>
      <w:pPr>
        <w:pStyle w:val="Normal"/>
        <w:jc w:val="both"/>
        <w:rPr/>
      </w:pPr>
      <w:r>
        <w:rPr/>
        <w:t>A  Specified Condition are Termination Events (i.e., Illegality, Tax Event, Tax Event Upon Merger, Credit Event Upon Merger or Additional Termination Event) that when “checked” in our Schedule to the Credit Support Annex have the following ramifications in the Credit Support Annex:</w:t>
      </w:r>
    </w:p>
    <w:p>
      <w:pPr>
        <w:pStyle w:val="Normal"/>
        <w:jc w:val="both"/>
        <w:rPr/>
      </w:pPr>
      <w:r>
        <w:rPr/>
      </w:r>
    </w:p>
    <w:p>
      <w:pPr>
        <w:pStyle w:val="Normal"/>
        <w:jc w:val="both"/>
        <w:rPr/>
      </w:pPr>
      <w:r>
        <w:rPr/>
      </w:r>
    </w:p>
    <w:p>
      <w:pPr>
        <w:pStyle w:val="Normal"/>
        <w:jc w:val="both"/>
        <w:rPr/>
      </w:pPr>
      <w:r>
        <w:rPr/>
        <w:t>1.</w:t>
        <w:tab/>
        <w:t xml:space="preserve">Paragraph 4(a) – Conditions Precedent to Transfer Obligations – As a general rule, (1) a Pledgor does not have to put up collateral if (i) an Event of Default, Potential Event of Default or Specified Condition has occurred with respect to the other party </w:t>
      </w:r>
      <w:r>
        <w:rPr>
          <w:b/>
        </w:rPr>
        <w:t xml:space="preserve">and </w:t>
      </w:r>
      <w:r>
        <w:rPr/>
        <w:t xml:space="preserve">(ii) an Early Termination date has occurred or been designated as a result of an Event of Default or Specified Condition with respect to the other party and such other party has unsatisfied payment obligations owing to the Pledgor.  Similarly, a Secured Party does not have to return collateral to the other party collateral if (i) an Event of Default, Potential Event of Default or Specified Condition has occurred with respect to the other party </w:t>
      </w:r>
      <w:r>
        <w:rPr>
          <w:b/>
        </w:rPr>
        <w:t xml:space="preserve">and </w:t>
      </w:r>
      <w:r>
        <w:rPr/>
        <w:t xml:space="preserve">(ii) an Early Termination date has occurred or been designated as a result of an Event of Default or Specified Condition with respect to the other party and such other party has unsatisfied payment obligations owing to the Secured Party.  </w:t>
      </w:r>
    </w:p>
    <w:p>
      <w:pPr>
        <w:pStyle w:val="Normal"/>
        <w:jc w:val="both"/>
        <w:rPr/>
      </w:pPr>
      <w:r>
        <w:rPr/>
      </w:r>
    </w:p>
    <w:p>
      <w:pPr>
        <w:pStyle w:val="Normal"/>
        <w:jc w:val="both"/>
        <w:rPr/>
      </w:pPr>
      <w:r>
        <w:rPr/>
      </w:r>
    </w:p>
    <w:p>
      <w:pPr>
        <w:pStyle w:val="Normal"/>
        <w:ind w:start="720" w:end="0"/>
        <w:jc w:val="both"/>
        <w:rPr>
          <w:b/>
        </w:rPr>
      </w:pPr>
      <w:r>
        <w:rPr>
          <w:b/>
        </w:rPr>
      </w:r>
    </w:p>
    <w:p>
      <w:pPr>
        <w:pStyle w:val="Normal"/>
        <w:jc w:val="both"/>
        <w:rPr>
          <w:b/>
        </w:rPr>
      </w:pPr>
      <w:r>
        <w:rPr>
          <w:b/>
        </w:rPr>
      </w:r>
    </w:p>
    <w:p>
      <w:pPr>
        <w:pStyle w:val="Normal"/>
        <w:jc w:val="both"/>
        <w:rPr>
          <w:b/>
        </w:rPr>
      </w:pPr>
      <w:r>
        <w:rPr>
          <w:b/>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72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450" w:start="2160" w:end="0"/>
      <w:outlineLvl w:val="0"/>
    </w:pPr>
    <w:rPr>
      <w:b/>
    </w:rPr>
  </w:style>
  <w:style w:type="paragraph" w:styleId="Heading2">
    <w:name w:val="heading 2"/>
    <w:basedOn w:val="Normal"/>
    <w:next w:val="Normal"/>
    <w:qFormat/>
    <w:pPr>
      <w:keepNext w:val="true"/>
      <w:numPr>
        <w:ilvl w:val="0"/>
        <w:numId w:val="2"/>
      </w:numP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2000-02-23T20:54:00Z</dcterms:created>
  <dc:creator>cstclai</dc:creator>
  <dc:description/>
  <dc:language>en-CA</dc:language>
  <cp:lastModifiedBy>cstclai</cp:lastModifiedBy>
  <cp:lastPrinted>2000-02-23T18:01:00Z</cp:lastPrinted>
  <dcterms:modified xsi:type="dcterms:W3CDTF">2000-02-23T21:31:00Z</dcterms:modified>
  <cp:revision>1</cp:revision>
  <dc:subject/>
  <dc:title>SUMMARY OF USE OF SPECIFIED ENTITY, SPECIFIED</dc:title>
</cp:coreProperties>
</file>