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SUMMARY OF ENEX RULES</w:t>
      </w:r>
    </w:p>
    <w:p>
      <w:pPr>
        <w:pStyle w:val="Normal"/>
        <w:jc w:val="center"/>
        <w:rPr>
          <w:b/>
          <w:bCs/>
          <w:u w:val="single"/>
        </w:rPr>
      </w:pPr>
      <w:r>
        <w:rPr>
          <w:b/>
          <w:bCs/>
          <w:u w:val="single"/>
        </w:rPr>
      </w:r>
    </w:p>
    <w:p>
      <w:pPr>
        <w:pStyle w:val="Subtitle"/>
        <w:rPr/>
      </w:pPr>
      <w:r>
        <w:rPr/>
        <w:t>Background</w:t>
      </w:r>
    </w:p>
    <w:p>
      <w:pPr>
        <w:pStyle w:val="Normal"/>
        <w:ind w:hanging="720" w:start="720" w:end="0"/>
        <w:jc w:val="both"/>
        <w:rPr/>
      </w:pPr>
      <w:r>
        <w:rPr/>
      </w:r>
    </w:p>
    <w:p>
      <w:pPr>
        <w:pStyle w:val="Normal"/>
        <w:ind w:hanging="720" w:start="720" w:end="0"/>
        <w:jc w:val="both"/>
        <w:rPr/>
      </w:pPr>
      <w:r>
        <w:rPr/>
        <w:t>●</w:t>
      </w:r>
      <w:r>
        <w:rPr/>
        <w:tab/>
        <w:t>“EnEx” stands for “The Energy Exchange” and it is an online trading platform operated by EnMo Limited (“EnMo”)[which is a joint venture between The National Grid Company plc and Altra Energy Technologies Inc.]</w:t>
      </w:r>
    </w:p>
    <w:p>
      <w:pPr>
        <w:pStyle w:val="Normal"/>
        <w:ind w:hanging="720" w:start="720" w:end="0"/>
        <w:jc w:val="both"/>
        <w:rPr/>
      </w:pPr>
      <w:r>
        <w:rPr/>
      </w:r>
    </w:p>
    <w:p>
      <w:pPr>
        <w:pStyle w:val="Normal"/>
        <w:ind w:hanging="720" w:start="720" w:end="0"/>
        <w:jc w:val="both"/>
        <w:rPr/>
      </w:pPr>
      <w:r>
        <w:rPr/>
        <w:t>●</w:t>
      </w:r>
      <w:r>
        <w:rPr/>
        <w:tab/>
        <w:t>Counterparties must enter into an agreement with EnMo in order to use EnEx. The agreement is on a single piece of paper called the “Signature Page”, but both parties are agreeing to be bound by the 85 page EnEx Rules upon signature.</w:t>
      </w:r>
    </w:p>
    <w:p>
      <w:pPr>
        <w:pStyle w:val="Normal"/>
        <w:ind w:hanging="720" w:start="720" w:end="0"/>
        <w:jc w:val="both"/>
        <w:rPr/>
      </w:pPr>
      <w:r>
        <w:rPr/>
      </w:r>
    </w:p>
    <w:p>
      <w:pPr>
        <w:pStyle w:val="Normal"/>
        <w:ind w:hanging="720" w:start="720" w:end="0"/>
        <w:jc w:val="both"/>
        <w:rPr>
          <w:b/>
          <w:bCs/>
          <w:u w:val="single"/>
        </w:rPr>
      </w:pPr>
      <w:r>
        <w:rPr/>
        <w:t>●</w:t>
      </w:r>
      <w:r>
        <w:rPr/>
        <w:tab/>
        <w:t>In this Summary “we”; “us” or “our” refers to Enron. “They” or “their” refers to EnMo.</w:t>
      </w:r>
    </w:p>
    <w:p>
      <w:pPr>
        <w:pStyle w:val="Normal"/>
        <w:jc w:val="both"/>
        <w:rPr>
          <w:b/>
          <w:bCs/>
          <w:u w:val="single"/>
        </w:rPr>
      </w:pPr>
      <w:r>
        <w:rPr>
          <w:b/>
          <w:bCs/>
          <w:u w:val="single"/>
        </w:rPr>
      </w:r>
    </w:p>
    <w:p>
      <w:pPr>
        <w:pStyle w:val="Normal"/>
        <w:jc w:val="both"/>
        <w:rPr/>
      </w:pPr>
      <w:r>
        <w:rPr/>
        <w:t>●</w:t>
      </w:r>
      <w:r>
        <w:rPr/>
        <w:tab/>
        <w:t>Enron wishes to trade 7 day ahead NBP gas contracts.</w:t>
      </w:r>
    </w:p>
    <w:p>
      <w:pPr>
        <w:pStyle w:val="Normal"/>
        <w:jc w:val="both"/>
        <w:rPr/>
      </w:pPr>
      <w:r>
        <w:rPr/>
      </w:r>
    </w:p>
    <w:p>
      <w:pPr>
        <w:pStyle w:val="Normal"/>
        <w:ind w:hanging="720" w:start="720" w:end="0"/>
        <w:jc w:val="both"/>
        <w:rPr>
          <w:b/>
          <w:bCs/>
          <w:u w:val="single"/>
        </w:rPr>
      </w:pPr>
      <w:r>
        <w:rPr/>
        <w:t>●</w:t>
      </w:r>
      <w:r>
        <w:rPr/>
        <w:tab/>
        <w:t>There are various fees, including a £1000 per month subscription fee and general transaction charges.</w:t>
      </w:r>
    </w:p>
    <w:p>
      <w:pPr>
        <w:pStyle w:val="Normal"/>
        <w:jc w:val="both"/>
        <w:rPr>
          <w:b/>
          <w:bCs/>
          <w:u w:val="single"/>
        </w:rPr>
      </w:pPr>
      <w:r>
        <w:rPr>
          <w:b/>
          <w:bCs/>
          <w:u w:val="single"/>
        </w:rPr>
      </w:r>
    </w:p>
    <w:p>
      <w:pPr>
        <w:pStyle w:val="Heading1"/>
        <w:ind w:hanging="0" w:start="0"/>
        <w:rPr/>
      </w:pPr>
      <w:r>
        <w:rPr/>
        <w:t>Summary of the EnEx Rules</w:t>
      </w:r>
    </w:p>
    <w:p>
      <w:pPr>
        <w:pStyle w:val="Normal"/>
        <w:jc w:val="both"/>
        <w:rPr>
          <w:b/>
          <w:bCs/>
          <w:u w:val="single"/>
        </w:rPr>
      </w:pPr>
      <w:r>
        <w:rPr>
          <w:b/>
          <w:bCs/>
          <w:u w:val="single"/>
        </w:rPr>
      </w:r>
    </w:p>
    <w:p>
      <w:pPr>
        <w:pStyle w:val="Normal"/>
        <w:ind w:hanging="720" w:start="720" w:end="0"/>
        <w:jc w:val="both"/>
        <w:rPr/>
      </w:pPr>
      <w:r>
        <w:rPr/>
        <w:t>(1)</w:t>
        <w:tab/>
      </w:r>
      <w:r>
        <w:rPr>
          <w:u w:val="single"/>
        </w:rPr>
        <w:t>Operation of the EnEx System</w:t>
      </w:r>
    </w:p>
    <w:p>
      <w:pPr>
        <w:pStyle w:val="Normal"/>
        <w:ind w:hanging="720" w:start="720" w:end="0"/>
        <w:jc w:val="both"/>
        <w:rPr/>
      </w:pPr>
      <w:r>
        <w:rPr/>
      </w:r>
    </w:p>
    <w:p>
      <w:pPr>
        <w:pStyle w:val="Normal"/>
        <w:ind w:hanging="720" w:start="720" w:end="0"/>
        <w:jc w:val="both"/>
        <w:rPr/>
      </w:pPr>
      <w:r>
        <w:rPr/>
        <w:t>●</w:t>
      </w:r>
      <w:r>
        <w:rPr/>
        <w:tab/>
        <w:t>We will only be admitted as a Subscriber to EnEx if he meets the Access Criteria, which are factors such as: the Subscriber holding a Shipper’s Licence and the Subscriber is not in breach of credit requirements. The current Access Criteria are set out in one of the attachments and are dated 2 May 2001.</w:t>
      </w:r>
    </w:p>
    <w:p>
      <w:pPr>
        <w:pStyle w:val="Normal"/>
        <w:ind w:hanging="720" w:start="720" w:end="0"/>
        <w:jc w:val="both"/>
        <w:rPr/>
      </w:pPr>
      <w:r>
        <w:rPr/>
      </w:r>
    </w:p>
    <w:p>
      <w:pPr>
        <w:pStyle w:val="Normal"/>
        <w:ind w:hanging="720" w:start="720" w:end="0"/>
        <w:jc w:val="both"/>
        <w:rPr/>
      </w:pPr>
      <w:r>
        <w:rPr/>
        <w:t>●</w:t>
      </w:r>
      <w:r>
        <w:rPr/>
        <w:tab/>
        <w:t xml:space="preserve">If we fail to meet the Access Criteria at any time or we think that we might in the near future fail to meet the Access Critera we must inform EnMo immediately. </w:t>
      </w:r>
    </w:p>
    <w:p>
      <w:pPr>
        <w:pStyle w:val="Normal"/>
        <w:ind w:hanging="720" w:start="720" w:end="0"/>
        <w:jc w:val="both"/>
        <w:rPr/>
      </w:pPr>
      <w:r>
        <w:rPr/>
      </w:r>
    </w:p>
    <w:p>
      <w:pPr>
        <w:pStyle w:val="Normal"/>
        <w:ind w:hanging="720" w:start="720" w:end="0"/>
        <w:jc w:val="both"/>
        <w:rPr/>
      </w:pPr>
      <w:r>
        <w:rPr/>
        <w:t>●</w:t>
      </w:r>
      <w:r>
        <w:rPr/>
        <w:tab/>
        <w:t>Access Rights are only granted in respect of those EnEx Products which we and EnMo have agreed that we may trade. These Products will be detailed on the Signature Page.</w:t>
      </w:r>
    </w:p>
    <w:p>
      <w:pPr>
        <w:pStyle w:val="Normal"/>
        <w:ind w:hanging="720" w:start="720" w:end="0"/>
        <w:jc w:val="both"/>
        <w:rPr/>
      </w:pPr>
      <w:r>
        <w:rPr/>
      </w:r>
    </w:p>
    <w:p>
      <w:pPr>
        <w:pStyle w:val="Normal"/>
        <w:ind w:hanging="720" w:start="720" w:end="0"/>
        <w:jc w:val="both"/>
        <w:rPr/>
      </w:pPr>
      <w:r>
        <w:rPr/>
        <w:t>●</w:t>
      </w:r>
      <w:r>
        <w:rPr/>
        <w:tab/>
        <w:t>In order to trade on EnEx, we will have to install and maintain the necessary IT equipment (called “Connection Equipment”), and we will be allotted a maximum financial exposure (the “Approved Credit Limit”) which we may have on EnEx and also a Net Sell Value Limit (undefined). Both of these may be changed unilaterally by EnMo by notice from time to time.</w:t>
      </w:r>
    </w:p>
    <w:p>
      <w:pPr>
        <w:pStyle w:val="Normal"/>
        <w:ind w:hanging="720" w:start="720" w:end="0"/>
        <w:jc w:val="both"/>
        <w:rPr/>
      </w:pPr>
      <w:r>
        <w:rPr/>
      </w:r>
    </w:p>
    <w:p>
      <w:pPr>
        <w:pStyle w:val="Normal"/>
        <w:ind w:hanging="720" w:start="720" w:end="0"/>
        <w:jc w:val="both"/>
        <w:rPr/>
      </w:pPr>
      <w:r>
        <w:rPr/>
        <w:t>●</w:t>
      </w:r>
      <w:r>
        <w:rPr/>
        <w:tab/>
        <w:t>Once we have Access Rights we can access EnEx and post Orders for Products, withdraw Orders we have posted and which have not been accepted and accept Orders posted by other users.</w:t>
      </w:r>
    </w:p>
    <w:p>
      <w:pPr>
        <w:pStyle w:val="Normal"/>
        <w:ind w:hanging="720" w:start="720" w:end="0"/>
        <w:jc w:val="both"/>
        <w:rPr/>
      </w:pPr>
      <w:r>
        <w:rPr/>
      </w:r>
    </w:p>
    <w:p>
      <w:pPr>
        <w:pStyle w:val="Normal"/>
        <w:ind w:hanging="720" w:start="720" w:end="0"/>
        <w:jc w:val="both"/>
        <w:rPr/>
      </w:pPr>
      <w:r>
        <w:rPr/>
        <w:t>●</w:t>
      </w:r>
      <w:r>
        <w:rPr/>
        <w:tab/>
        <w:t>We transmit Orders to EnEx which (if they comply with the Rules) they display (called a “live” order when posted in business hours) and Orders are “matched” on the system. We can stipulate that we will accept offers for any part of quantities of gas we offer for sale – otherwise only bids for the whole would be matched. The same is true for any bids we make.</w:t>
      </w:r>
    </w:p>
    <w:p>
      <w:pPr>
        <w:pStyle w:val="Normal"/>
        <w:ind w:hanging="720" w:start="720" w:end="0"/>
        <w:jc w:val="both"/>
        <w:rPr/>
      </w:pPr>
      <w:r>
        <w:rPr/>
      </w:r>
    </w:p>
    <w:p>
      <w:pPr>
        <w:pStyle w:val="Normal"/>
        <w:ind w:hanging="720" w:start="720" w:end="0"/>
        <w:jc w:val="both"/>
        <w:rPr/>
      </w:pPr>
      <w:r>
        <w:rPr/>
        <w:t>●</w:t>
      </w:r>
      <w:r>
        <w:rPr/>
        <w:tab/>
        <w:t>We can post Orders which are time-limited to expire “until nomination deadline” (i.e. until the close on the last available Trading Day); or “until end of day” which lapse at the end of the Trading Day; or a “fill or kill” Order which will lapse if not immediately accepted; or a “10 Minutes” Order which will lapse or be placed on hold if not accepted within the time limit set by EnEx.</w:t>
      </w:r>
    </w:p>
    <w:p>
      <w:pPr>
        <w:pStyle w:val="Normal"/>
        <w:ind w:hanging="720" w:start="720" w:end="0"/>
        <w:jc w:val="both"/>
        <w:rPr/>
      </w:pPr>
      <w:r>
        <w:rPr/>
      </w:r>
    </w:p>
    <w:p>
      <w:pPr>
        <w:pStyle w:val="Normal"/>
        <w:ind w:hanging="720" w:start="720" w:end="0"/>
        <w:jc w:val="both"/>
        <w:rPr/>
      </w:pPr>
      <w:r>
        <w:rPr/>
        <w:t>(2)</w:t>
        <w:tab/>
      </w:r>
      <w:r>
        <w:rPr>
          <w:u w:val="single"/>
        </w:rPr>
        <w:t>Order Characteristics</w:t>
      </w:r>
    </w:p>
    <w:p>
      <w:pPr>
        <w:pStyle w:val="Normal"/>
        <w:ind w:hanging="720" w:start="720" w:end="0"/>
        <w:jc w:val="both"/>
        <w:rPr/>
      </w:pPr>
      <w:r>
        <w:rPr/>
      </w:r>
    </w:p>
    <w:p>
      <w:pPr>
        <w:pStyle w:val="Normal"/>
        <w:ind w:hanging="720" w:start="720" w:end="0"/>
        <w:jc w:val="both"/>
        <w:rPr/>
      </w:pPr>
      <w:r>
        <w:rPr/>
        <w:t>●</w:t>
      </w:r>
      <w:r>
        <w:rPr/>
        <w:tab/>
        <w:t>They can reject any Order where they are unsatisfied with our credit position.</w:t>
      </w:r>
    </w:p>
    <w:p>
      <w:pPr>
        <w:pStyle w:val="Normal"/>
        <w:ind w:hanging="720" w:start="720" w:end="0"/>
        <w:jc w:val="both"/>
        <w:rPr/>
      </w:pPr>
      <w:r>
        <w:rPr/>
      </w:r>
    </w:p>
    <w:p>
      <w:pPr>
        <w:pStyle w:val="Normal"/>
        <w:ind w:hanging="720" w:start="720" w:end="0"/>
        <w:jc w:val="both"/>
        <w:rPr/>
      </w:pPr>
      <w:r>
        <w:rPr/>
        <w:t>●</w:t>
      </w:r>
      <w:r>
        <w:rPr/>
        <w:tab/>
        <w:t>They can set maximum and minimum prices which may be bid or offered for Products on EnEx and can reject any Order in breach of such maximum or minimum price.</w:t>
      </w:r>
    </w:p>
    <w:p>
      <w:pPr>
        <w:pStyle w:val="Normal"/>
        <w:ind w:hanging="720" w:start="720" w:end="0"/>
        <w:jc w:val="both"/>
        <w:rPr/>
      </w:pPr>
      <w:r>
        <w:rPr/>
      </w:r>
    </w:p>
    <w:p>
      <w:pPr>
        <w:pStyle w:val="Normal"/>
        <w:ind w:hanging="720" w:start="720" w:end="0"/>
        <w:jc w:val="both"/>
        <w:rPr/>
      </w:pPr>
      <w:r>
        <w:rPr/>
        <w:t>●</w:t>
      </w:r>
      <w:r>
        <w:rPr/>
        <w:tab/>
        <w:t>The Order must state the Delivery Day; Contract Price; Daily Quantity (in Lots); whether partial acceptance is permitted; and whether it is fill-or-kill, 10 Minute, live-until-nomination-deadline-Order, or until-end-of-day-Order.</w:t>
      </w:r>
    </w:p>
    <w:p>
      <w:pPr>
        <w:pStyle w:val="Normal"/>
        <w:ind w:hanging="720" w:start="720" w:end="0"/>
        <w:jc w:val="both"/>
        <w:rPr/>
      </w:pPr>
      <w:r>
        <w:rPr/>
      </w:r>
    </w:p>
    <w:p>
      <w:pPr>
        <w:pStyle w:val="Normal"/>
        <w:ind w:hanging="720" w:start="720" w:end="0"/>
        <w:jc w:val="both"/>
        <w:rPr/>
      </w:pPr>
      <w:r>
        <w:rPr/>
        <w:t>●</w:t>
      </w:r>
      <w:r>
        <w:rPr/>
        <w:tab/>
        <w:t>They must not reveal any Subscriber’s identity.</w:t>
      </w:r>
    </w:p>
    <w:p>
      <w:pPr>
        <w:pStyle w:val="Normal"/>
        <w:ind w:hanging="720" w:start="720" w:end="0"/>
        <w:jc w:val="both"/>
        <w:rPr/>
      </w:pPr>
      <w:r>
        <w:rPr/>
      </w:r>
    </w:p>
    <w:p>
      <w:pPr>
        <w:pStyle w:val="Normal"/>
        <w:ind w:hanging="720" w:start="720" w:end="0"/>
        <w:jc w:val="both"/>
        <w:rPr/>
      </w:pPr>
      <w:r>
        <w:rPr/>
        <w:t>●</w:t>
      </w:r>
      <w:r>
        <w:rPr/>
        <w:tab/>
        <w:t>An Order will cease to be displayed when it is accepted, withdrawn  or our Access Rights are suspended or terminated or there is a Connection Failure.</w:t>
      </w:r>
    </w:p>
    <w:p>
      <w:pPr>
        <w:pStyle w:val="Normal"/>
        <w:ind w:hanging="720" w:start="720" w:end="0"/>
        <w:jc w:val="both"/>
        <w:rPr/>
      </w:pPr>
      <w:r>
        <w:rPr/>
      </w:r>
    </w:p>
    <w:p>
      <w:pPr>
        <w:pStyle w:val="Normal"/>
        <w:ind w:hanging="720" w:start="720" w:end="0"/>
        <w:jc w:val="both"/>
        <w:rPr/>
      </w:pPr>
      <w:r>
        <w:rPr/>
        <w:t>●</w:t>
      </w:r>
      <w:r>
        <w:rPr/>
        <w:tab/>
        <w:t>We can stipulate that any Enron Group companies should not be able to accept Orders posted by other Enron Group companies.</w:t>
      </w:r>
    </w:p>
    <w:p>
      <w:pPr>
        <w:pStyle w:val="Normal"/>
        <w:ind w:hanging="720" w:start="720" w:end="0"/>
        <w:jc w:val="both"/>
        <w:rPr/>
      </w:pPr>
      <w:r>
        <w:rPr/>
      </w:r>
    </w:p>
    <w:p>
      <w:pPr>
        <w:pStyle w:val="Normal"/>
        <w:ind w:hanging="720" w:start="720" w:end="0"/>
        <w:jc w:val="both"/>
        <w:rPr/>
      </w:pPr>
      <w:r>
        <w:rPr/>
        <w:t>●</w:t>
      </w:r>
      <w:r>
        <w:rPr/>
        <w:tab/>
        <w:t>They will notify us “forthwith” of any Transaction which we have become a party to on a Trading Day and the Order which has been accepted by us or a counterparty.</w:t>
      </w:r>
    </w:p>
    <w:p>
      <w:pPr>
        <w:pStyle w:val="Normal"/>
        <w:ind w:hanging="720" w:start="720" w:end="0"/>
        <w:jc w:val="both"/>
        <w:rPr/>
      </w:pPr>
      <w:r>
        <w:rPr/>
      </w:r>
    </w:p>
    <w:p>
      <w:pPr>
        <w:pStyle w:val="Normal"/>
        <w:ind w:hanging="720" w:start="720" w:end="0"/>
        <w:jc w:val="both"/>
        <w:rPr/>
      </w:pPr>
      <w:r>
        <w:rPr/>
        <w:t>●</w:t>
      </w:r>
      <w:r>
        <w:rPr/>
        <w:tab/>
        <w:t xml:space="preserve">As soon as reasonably practicable after the formation of the Transaction they must send to us a notice by fax or via EnEx specifying: the Order ID; whether we are buyer or seller; the Transaction time; Delivery Day; Daily Quantity; and Contract Price. </w:t>
      </w:r>
    </w:p>
    <w:p>
      <w:pPr>
        <w:pStyle w:val="Normal"/>
        <w:ind w:hanging="720" w:start="720" w:end="0"/>
        <w:jc w:val="both"/>
        <w:rPr/>
      </w:pPr>
      <w:r>
        <w:rPr/>
      </w:r>
    </w:p>
    <w:p>
      <w:pPr>
        <w:pStyle w:val="Normal"/>
        <w:ind w:hanging="720" w:start="720" w:end="0"/>
        <w:jc w:val="both"/>
        <w:rPr/>
      </w:pPr>
      <w:r>
        <w:rPr/>
        <w:t>●</w:t>
      </w:r>
      <w:r>
        <w:rPr/>
        <w:tab/>
        <w:t>If a System Failure occurs, the Transaction shall be void if a confirmation is not delivered by EnMo or they do not make a Trade Nomination. They can also void the Transaction within 15 minutes of sending the Confirmation if it occurred as a result of a System Failure.</w:t>
      </w:r>
      <w:r>
        <w:rPr>
          <w:color w:val="FF0000"/>
        </w:rPr>
        <w:t xml:space="preserve"> </w:t>
      </w:r>
    </w:p>
    <w:p>
      <w:pPr>
        <w:pStyle w:val="Normal"/>
        <w:ind w:hanging="720" w:start="720" w:end="0"/>
        <w:jc w:val="both"/>
        <w:rPr>
          <w:color w:val="FF0000"/>
        </w:rPr>
      </w:pPr>
      <w:r>
        <w:rPr/>
        <w:t>●</w:t>
      </w:r>
      <w:r>
        <w:rPr/>
        <w:tab/>
        <w:t>We can void a Transation due to manifest error but must pay a fixed fee of £15,000 per voided Transaction  (or other fee dictated by them in a notice). They have discretion to determine whether it is a manifest error or not. EnMo then pay the counterparty a fee of £10,000 per Transaction voided</w:t>
      </w:r>
    </w:p>
    <w:p>
      <w:pPr>
        <w:pStyle w:val="Normal"/>
        <w:jc w:val="both"/>
        <w:rPr>
          <w:color w:val="FF0000"/>
        </w:rPr>
      </w:pPr>
      <w:r>
        <w:rPr>
          <w:color w:val="FF0000"/>
        </w:rPr>
      </w:r>
    </w:p>
    <w:p>
      <w:pPr>
        <w:pStyle w:val="Normal"/>
        <w:jc w:val="both"/>
        <w:rPr/>
      </w:pPr>
      <w:r>
        <w:rPr/>
        <w:t>●</w:t>
      </w:r>
      <w:r>
        <w:rPr/>
        <w:tab/>
        <w:t>EnMo cannot post Orders on its own account.</w:t>
      </w:r>
    </w:p>
    <w:p>
      <w:pPr>
        <w:pStyle w:val="Normal"/>
        <w:jc w:val="both"/>
        <w:rPr/>
      </w:pPr>
      <w:r>
        <w:rPr/>
      </w:r>
    </w:p>
    <w:p>
      <w:pPr>
        <w:pStyle w:val="Normal"/>
        <w:ind w:hanging="720" w:start="720" w:end="0"/>
        <w:jc w:val="both"/>
        <w:rPr/>
      </w:pPr>
      <w:r>
        <w:rPr/>
        <w:t>●</w:t>
      </w:r>
      <w:r>
        <w:rPr/>
        <w:tab/>
        <w:t>We must make payments in Pounds Sterling. They will invoice us monthly. Payment procedures are set out in the EnEx Invoicing and Payment Procedures notice (the latest notice is dated 2 May 2001).</w:t>
      </w:r>
    </w:p>
    <w:p>
      <w:pPr>
        <w:pStyle w:val="Normal"/>
        <w:ind w:hanging="720" w:start="720" w:end="0"/>
        <w:jc w:val="both"/>
        <w:rPr/>
      </w:pPr>
      <w:r>
        <w:rPr/>
      </w:r>
    </w:p>
    <w:p>
      <w:pPr>
        <w:pStyle w:val="Normal"/>
        <w:ind w:hanging="720" w:start="720" w:end="0"/>
        <w:jc w:val="both"/>
        <w:rPr/>
      </w:pPr>
      <w:r>
        <w:rPr/>
        <w:t>(3)</w:t>
        <w:tab/>
      </w:r>
      <w:r>
        <w:rPr>
          <w:u w:val="single"/>
        </w:rPr>
        <w:t>Subscriber Obligations</w:t>
      </w:r>
    </w:p>
    <w:p>
      <w:pPr>
        <w:pStyle w:val="Normal"/>
        <w:ind w:hanging="720" w:start="720" w:end="0"/>
        <w:jc w:val="both"/>
        <w:rPr/>
      </w:pPr>
      <w:r>
        <w:rPr/>
      </w:r>
    </w:p>
    <w:p>
      <w:pPr>
        <w:pStyle w:val="Normal"/>
        <w:ind w:hanging="720" w:start="720" w:end="0"/>
        <w:jc w:val="both"/>
        <w:rPr/>
      </w:pPr>
      <w:r>
        <w:rPr/>
        <w:t>●</w:t>
      </w:r>
      <w:r>
        <w:rPr/>
        <w:tab/>
        <w:t>We will have various obligations as a subscriber including: the requirement to abide by the EnEx Rules and the terms of the Transactions; ensure that the date inputted into EnEx is correct; prevent unauthorised users from accessing EnEx; and ensuring that viruses are not introduced into the Licensed Software.</w:t>
      </w:r>
    </w:p>
    <w:p>
      <w:pPr>
        <w:pStyle w:val="Normal"/>
        <w:ind w:hanging="720" w:start="720" w:end="0"/>
        <w:jc w:val="both"/>
        <w:rPr/>
      </w:pPr>
      <w:r>
        <w:rPr/>
      </w:r>
    </w:p>
    <w:p>
      <w:pPr>
        <w:pStyle w:val="Normal"/>
        <w:ind w:hanging="720" w:start="720" w:end="0"/>
        <w:jc w:val="both"/>
        <w:rPr/>
      </w:pPr>
      <w:r>
        <w:rPr/>
        <w:t>(4)</w:t>
        <w:tab/>
      </w:r>
      <w:r>
        <w:rPr>
          <w:u w:val="single"/>
        </w:rPr>
        <w:t>Suspension and Termination of Access Rights</w:t>
      </w:r>
    </w:p>
    <w:p>
      <w:pPr>
        <w:pStyle w:val="Normal"/>
        <w:ind w:hanging="720" w:start="720" w:end="0"/>
        <w:jc w:val="both"/>
        <w:rPr/>
      </w:pPr>
      <w:r>
        <w:rPr/>
      </w:r>
    </w:p>
    <w:p>
      <w:pPr>
        <w:pStyle w:val="Normal"/>
        <w:ind w:hanging="720" w:start="720" w:end="0"/>
        <w:jc w:val="both"/>
        <w:rPr/>
      </w:pPr>
      <w:r>
        <w:rPr/>
        <w:t>●</w:t>
      </w:r>
      <w:r>
        <w:rPr/>
        <w:tab/>
        <w:t>EnMo can suspend our Access Rights in respect of any and all Products at any time.</w:t>
      </w:r>
    </w:p>
    <w:p>
      <w:pPr>
        <w:pStyle w:val="Normal"/>
        <w:ind w:hanging="720" w:start="720" w:end="0"/>
        <w:jc w:val="both"/>
        <w:rPr/>
      </w:pPr>
      <w:r>
        <w:rPr/>
      </w:r>
    </w:p>
    <w:p>
      <w:pPr>
        <w:pStyle w:val="Normal"/>
        <w:ind w:hanging="720" w:start="720" w:end="0"/>
        <w:jc w:val="both"/>
        <w:rPr/>
      </w:pPr>
      <w:r>
        <w:rPr/>
        <w:t>●</w:t>
      </w:r>
      <w:r>
        <w:rPr/>
        <w:tab/>
        <w:t>In the case of a material breach by us of the EnEx Rules they have to give us at least 2 days’ written notice of suspension. They can terminate the agreement after 9 days’ notice.</w:t>
      </w:r>
    </w:p>
    <w:p>
      <w:pPr>
        <w:pStyle w:val="Normal"/>
        <w:ind w:hanging="720" w:start="720" w:end="0"/>
        <w:jc w:val="both"/>
        <w:rPr/>
      </w:pPr>
      <w:r>
        <w:rPr/>
      </w:r>
    </w:p>
    <w:p>
      <w:pPr>
        <w:pStyle w:val="Normal"/>
        <w:ind w:hanging="720" w:start="720" w:end="0"/>
        <w:jc w:val="both"/>
        <w:rPr/>
      </w:pPr>
      <w:r>
        <w:rPr/>
        <w:t>●</w:t>
      </w:r>
      <w:r>
        <w:rPr/>
        <w:tab/>
        <w:t>In the case of non-payment under their Invoicing and Payment Procedures (which they can change at will) they can suspend our Access Rights immediately. They can terminate the agreement for non-payment on 2 days’ written notice.</w:t>
      </w:r>
    </w:p>
    <w:p>
      <w:pPr>
        <w:pStyle w:val="Normal"/>
        <w:ind w:hanging="720" w:start="720" w:end="0"/>
        <w:jc w:val="both"/>
        <w:rPr/>
      </w:pPr>
      <w:r>
        <w:rPr/>
      </w:r>
    </w:p>
    <w:p>
      <w:pPr>
        <w:pStyle w:val="Normal"/>
        <w:ind w:hanging="720" w:start="720" w:end="0"/>
        <w:jc w:val="both"/>
        <w:rPr/>
      </w:pPr>
      <w:r>
        <w:rPr/>
        <w:t>●</w:t>
      </w:r>
      <w:r>
        <w:rPr/>
        <w:tab/>
        <w:t>If they suspect us of a wide range of potential misconduct activities (e.g. fraud, dishonesty , extortion, abuse of market) they have a wide range of sanctions including reporting us to regulators, withdrawing our Orders or preventing others from accepting our orders or simply immediately suspending or terminating our Access Rights.</w:t>
      </w:r>
    </w:p>
    <w:p>
      <w:pPr>
        <w:pStyle w:val="Normal"/>
        <w:ind w:hanging="720" w:start="720" w:end="0"/>
        <w:jc w:val="both"/>
        <w:rPr/>
      </w:pPr>
      <w:r>
        <w:rPr/>
      </w:r>
    </w:p>
    <w:p>
      <w:pPr>
        <w:pStyle w:val="Normal"/>
        <w:ind w:hanging="720" w:start="720" w:end="0"/>
        <w:jc w:val="both"/>
        <w:rPr/>
      </w:pPr>
      <w:r>
        <w:rPr/>
        <w:t>●</w:t>
      </w:r>
      <w:r>
        <w:rPr/>
        <w:tab/>
        <w:t>They can also suspend our Access Rights if we default under their Default Procedures (which they can change at will: the Default Procedures are set out in one of the attachments and the latest is dated 2 May 2001) or if they are not satisfied with our credit cover (over which they have total discretion).</w:t>
      </w:r>
    </w:p>
    <w:p>
      <w:pPr>
        <w:pStyle w:val="Normal"/>
        <w:ind w:hanging="720" w:start="720" w:end="0"/>
        <w:jc w:val="both"/>
        <w:rPr/>
      </w:pPr>
      <w:r>
        <w:rPr/>
      </w:r>
    </w:p>
    <w:p>
      <w:pPr>
        <w:pStyle w:val="Normal"/>
        <w:ind w:hanging="720" w:start="720" w:end="0"/>
        <w:jc w:val="both"/>
        <w:rPr/>
      </w:pPr>
      <w:r>
        <w:rPr/>
        <w:t>●</w:t>
      </w:r>
      <w:r>
        <w:rPr/>
        <w:tab/>
        <w:t>They may suspend our Access Rights during  a connection failure or by 7 days’ notice for planned maintenance of the system or in the event of a Gas Emergency (basically a disruption in the Transco gas pipeline system due to an emergency-style event).</w:t>
      </w:r>
    </w:p>
    <w:p>
      <w:pPr>
        <w:pStyle w:val="Normal"/>
        <w:ind w:hanging="720" w:start="720" w:end="0"/>
        <w:jc w:val="both"/>
        <w:rPr/>
      </w:pPr>
      <w:r>
        <w:rPr/>
        <w:t>●</w:t>
      </w:r>
      <w:r>
        <w:rPr/>
        <w:tab/>
        <w:t>Both we and they can terminate our Access Rights. We can terminate them on 30 days’ written notice to them. If they change the EnEx Rules (which they can do unilaterally on notice to us) then we can terminate immediately or within 10 days’ of them informing us of the rule change.</w:t>
      </w:r>
    </w:p>
    <w:p>
      <w:pPr>
        <w:pStyle w:val="Normal"/>
        <w:ind w:hanging="720" w:start="720" w:end="0"/>
        <w:jc w:val="both"/>
        <w:rPr/>
      </w:pPr>
      <w:r>
        <w:rPr/>
      </w:r>
    </w:p>
    <w:p>
      <w:pPr>
        <w:pStyle w:val="Normal"/>
        <w:ind w:hanging="720" w:start="720" w:end="0"/>
        <w:jc w:val="both"/>
        <w:rPr/>
      </w:pPr>
      <w:r>
        <w:rPr/>
        <w:t>●</w:t>
      </w:r>
      <w:r>
        <w:rPr/>
        <w:tab/>
        <w:t>They can also terminate our Access Rights if they cease to be a Code User under the Network Code.</w:t>
      </w:r>
    </w:p>
    <w:p>
      <w:pPr>
        <w:pStyle w:val="Normal"/>
        <w:ind w:hanging="720" w:start="720" w:end="0"/>
        <w:jc w:val="both"/>
        <w:rPr/>
      </w:pPr>
      <w:r>
        <w:rPr/>
      </w:r>
    </w:p>
    <w:p>
      <w:pPr>
        <w:pStyle w:val="Normal"/>
        <w:ind w:hanging="720" w:start="720" w:end="0"/>
        <w:jc w:val="both"/>
        <w:rPr/>
      </w:pPr>
      <w:r>
        <w:rPr/>
        <w:t>●</w:t>
      </w:r>
      <w:r>
        <w:rPr/>
        <w:tab/>
        <w:t>We can terminate the agreement if they do not pay us any sum owing within 7 days’ of written notice to them. We can also terminate for their material breach on 9 days’ written notice.</w:t>
      </w:r>
    </w:p>
    <w:p>
      <w:pPr>
        <w:pStyle w:val="Normal"/>
        <w:ind w:hanging="720" w:start="720" w:end="0"/>
        <w:jc w:val="both"/>
        <w:rPr/>
      </w:pPr>
      <w:r>
        <w:rPr/>
      </w:r>
    </w:p>
    <w:p>
      <w:pPr>
        <w:pStyle w:val="Normal"/>
        <w:ind w:hanging="720" w:start="720" w:end="0"/>
        <w:jc w:val="both"/>
        <w:rPr/>
      </w:pPr>
      <w:r>
        <w:rPr/>
        <w:t>(5)</w:t>
        <w:tab/>
      </w:r>
      <w:r>
        <w:rPr>
          <w:u w:val="single"/>
        </w:rPr>
        <w:t>Liability and Force Majeure</w:t>
      </w:r>
    </w:p>
    <w:p>
      <w:pPr>
        <w:pStyle w:val="Normal"/>
        <w:ind w:hanging="720" w:start="720" w:end="0"/>
        <w:jc w:val="both"/>
        <w:rPr/>
      </w:pPr>
      <w:r>
        <w:rPr/>
      </w:r>
    </w:p>
    <w:p>
      <w:pPr>
        <w:pStyle w:val="BodyTextIndent"/>
        <w:rPr/>
      </w:pPr>
      <w:r>
        <w:rPr/>
        <w:t>●</w:t>
      </w:r>
      <w:r>
        <w:rPr/>
        <w:tab/>
        <w:t>Each party is liable for losses due to their breach of the EnEx Rules where the losses are a result of physical damage to one party’s property and arise directly from the breach of the Rules.</w:t>
      </w:r>
    </w:p>
    <w:p>
      <w:pPr>
        <w:pStyle w:val="Normal"/>
        <w:ind w:hanging="720" w:start="720" w:end="0"/>
        <w:jc w:val="both"/>
        <w:rPr/>
      </w:pPr>
      <w:r>
        <w:rPr/>
      </w:r>
    </w:p>
    <w:p>
      <w:pPr>
        <w:pStyle w:val="Normal"/>
        <w:ind w:hanging="720" w:start="720" w:end="0"/>
        <w:jc w:val="both"/>
        <w:rPr/>
      </w:pPr>
      <w:r>
        <w:rPr/>
        <w:t>●</w:t>
      </w:r>
      <w:r>
        <w:rPr/>
        <w:tab/>
        <w:t>Consequential loss and loss of profit are specifically excluded from the calculation of loss.</w:t>
      </w:r>
    </w:p>
    <w:p>
      <w:pPr>
        <w:pStyle w:val="Normal"/>
        <w:ind w:hanging="720" w:start="720" w:end="0"/>
        <w:jc w:val="both"/>
        <w:rPr/>
      </w:pPr>
      <w:r>
        <w:rPr/>
      </w:r>
    </w:p>
    <w:p>
      <w:pPr>
        <w:pStyle w:val="Normal"/>
        <w:ind w:hanging="720" w:start="720" w:end="0"/>
        <w:jc w:val="both"/>
        <w:rPr/>
      </w:pPr>
      <w:r>
        <w:rPr/>
        <w:t>●</w:t>
      </w:r>
      <w:r>
        <w:rPr/>
        <w:tab/>
        <w:t xml:space="preserve">They cap their losses to any one Subscriber at £500,000 per Year and to all Subscribers at £10,000,000 per Year. </w:t>
      </w:r>
    </w:p>
    <w:p>
      <w:pPr>
        <w:pStyle w:val="Normal"/>
        <w:ind w:hanging="720" w:start="720" w:end="0"/>
        <w:jc w:val="both"/>
        <w:rPr/>
      </w:pPr>
      <w:r>
        <w:rPr/>
      </w:r>
    </w:p>
    <w:p>
      <w:pPr>
        <w:pStyle w:val="Normal"/>
        <w:ind w:hanging="720" w:start="720" w:end="0"/>
        <w:jc w:val="both"/>
        <w:rPr/>
      </w:pPr>
      <w:r>
        <w:rPr/>
        <w:t>●</w:t>
      </w:r>
      <w:r>
        <w:rPr/>
        <w:tab/>
        <w:t xml:space="preserve">Our liability to them is capped at £500,000 per year. </w:t>
      </w:r>
    </w:p>
    <w:p>
      <w:pPr>
        <w:pStyle w:val="Normal"/>
        <w:ind w:hanging="720" w:start="720" w:end="0"/>
        <w:jc w:val="both"/>
        <w:rPr/>
      </w:pPr>
      <w:r>
        <w:rPr/>
      </w:r>
    </w:p>
    <w:p>
      <w:pPr>
        <w:pStyle w:val="Normal"/>
        <w:ind w:hanging="720" w:start="720" w:end="0"/>
        <w:jc w:val="both"/>
        <w:rPr/>
      </w:pPr>
      <w:r>
        <w:rPr/>
        <w:t>●</w:t>
      </w:r>
      <w:r>
        <w:rPr/>
        <w:tab/>
        <w:t>They cap their losses to all Subscribers in repect of a failure to make Accurate Trade Nominations at £20,000,000 and for any failure under the EnEx Rules and the OCM Market Rules at £50,000,000.</w:t>
      </w:r>
    </w:p>
    <w:p>
      <w:pPr>
        <w:pStyle w:val="Normal"/>
        <w:ind w:hanging="720" w:start="720" w:end="0"/>
        <w:jc w:val="both"/>
        <w:rPr/>
      </w:pPr>
      <w:r>
        <w:rPr/>
      </w:r>
    </w:p>
    <w:p>
      <w:pPr>
        <w:pStyle w:val="Normal"/>
        <w:ind w:hanging="720" w:start="720" w:end="0"/>
        <w:jc w:val="both"/>
        <w:rPr/>
      </w:pPr>
      <w:r>
        <w:rPr/>
        <w:t>●</w:t>
      </w:r>
      <w:r>
        <w:rPr/>
        <w:tab/>
        <w:t>Our indemnity liabilities to them are capped at £1,000,000 per year.</w:t>
      </w:r>
    </w:p>
    <w:p>
      <w:pPr>
        <w:pStyle w:val="Normal"/>
        <w:ind w:hanging="720" w:start="720" w:end="0"/>
        <w:jc w:val="both"/>
        <w:rPr/>
      </w:pPr>
      <w:r>
        <w:rPr/>
      </w:r>
    </w:p>
    <w:p>
      <w:pPr>
        <w:pStyle w:val="Normal"/>
        <w:ind w:hanging="720" w:start="720" w:end="0"/>
        <w:jc w:val="both"/>
        <w:rPr/>
      </w:pPr>
      <w:r>
        <w:rPr/>
        <w:t>●</w:t>
      </w:r>
      <w:r>
        <w:rPr/>
        <w:tab/>
        <w:t>We waive our rights to claim against them in tort (including negligence and nuisance) or misrepresentation.</w:t>
      </w:r>
    </w:p>
    <w:p>
      <w:pPr>
        <w:pStyle w:val="Normal"/>
        <w:ind w:hanging="720" w:start="720" w:end="0"/>
        <w:jc w:val="both"/>
        <w:rPr/>
      </w:pPr>
      <w:r>
        <w:rPr/>
      </w:r>
    </w:p>
    <w:p>
      <w:pPr>
        <w:pStyle w:val="Normal"/>
        <w:ind w:hanging="720" w:start="720" w:end="0"/>
        <w:jc w:val="both"/>
        <w:rPr/>
      </w:pPr>
      <w:r>
        <w:rPr/>
        <w:t>●</w:t>
      </w:r>
      <w:r>
        <w:rPr/>
        <w:tab/>
        <w:t>There is a fairly standard Force Majeure provision, and FM may be claimed by either us or them.</w:t>
      </w:r>
    </w:p>
    <w:p>
      <w:pPr>
        <w:pStyle w:val="Normal"/>
        <w:ind w:hanging="720" w:start="720" w:end="0"/>
        <w:jc w:val="both"/>
        <w:rPr/>
      </w:pPr>
      <w:r>
        <w:rPr/>
      </w:r>
    </w:p>
    <w:p>
      <w:pPr>
        <w:pStyle w:val="Normal"/>
        <w:ind w:hanging="720" w:start="720" w:end="0"/>
        <w:jc w:val="both"/>
        <w:rPr/>
      </w:pPr>
      <w:r>
        <w:rPr/>
        <w:t>(6)</w:t>
        <w:tab/>
      </w:r>
      <w:r>
        <w:rPr>
          <w:u w:val="single"/>
        </w:rPr>
        <w:t>Credit Requirements</w:t>
      </w:r>
    </w:p>
    <w:p>
      <w:pPr>
        <w:pStyle w:val="Normal"/>
        <w:ind w:hanging="720" w:start="720" w:end="0"/>
        <w:jc w:val="both"/>
        <w:rPr>
          <w:u w:val="single"/>
        </w:rPr>
      </w:pPr>
      <w:r>
        <w:rPr>
          <w:u w:val="single"/>
        </w:rPr>
      </w:r>
    </w:p>
    <w:p>
      <w:pPr>
        <w:pStyle w:val="Normal"/>
        <w:ind w:hanging="720" w:start="720" w:end="0"/>
        <w:jc w:val="both"/>
        <w:rPr>
          <w:u w:val="single"/>
        </w:rPr>
      </w:pPr>
      <w:r>
        <w:rPr/>
        <w:t>●</w:t>
      </w:r>
      <w:r>
        <w:rPr/>
        <w:tab/>
        <w:t>They set out their credit policy in one of the attachments. The latest policy is dated 2 May 2001.</w:t>
      </w:r>
    </w:p>
    <w:p>
      <w:pPr>
        <w:pStyle w:val="Normal"/>
        <w:ind w:hanging="720" w:start="720" w:end="0"/>
        <w:jc w:val="both"/>
        <w:rPr>
          <w:u w:val="single"/>
        </w:rPr>
      </w:pPr>
      <w:r>
        <w:rPr>
          <w:u w:val="single"/>
        </w:rPr>
      </w:r>
    </w:p>
    <w:p>
      <w:pPr>
        <w:pStyle w:val="Normal"/>
        <w:ind w:hanging="720" w:start="720" w:end="0"/>
        <w:jc w:val="both"/>
        <w:rPr/>
      </w:pPr>
      <w:r>
        <w:rPr/>
        <w:t>●</w:t>
      </w:r>
      <w:r>
        <w:rPr/>
        <w:tab/>
        <w:t>We cannot place an Order if it takes us over our Approved Credit Limit (“ACL”) and we will have a Net Sell Position Limit (“NSPL”) which they will set for us every day (over which they have complete discretion).</w:t>
      </w:r>
    </w:p>
    <w:p>
      <w:pPr>
        <w:pStyle w:val="Normal"/>
        <w:ind w:hanging="720" w:start="720" w:end="0"/>
        <w:jc w:val="both"/>
        <w:rPr/>
      </w:pPr>
      <w:r>
        <w:rPr/>
      </w:r>
    </w:p>
    <w:p>
      <w:pPr>
        <w:pStyle w:val="Normal"/>
        <w:ind w:hanging="720" w:start="720" w:end="0"/>
        <w:jc w:val="both"/>
        <w:rPr/>
      </w:pPr>
      <w:r>
        <w:rPr/>
        <w:t>●</w:t>
      </w:r>
      <w:r>
        <w:rPr/>
        <w:tab/>
        <w:t>They can issue a “Financial Assurance Demand” requesting further credit cover or a prepayment if we exceed the ACL or the NSPL. If we do not provide the necessary financial assurance they can withold amounts payable to us.</w:t>
      </w:r>
    </w:p>
    <w:p>
      <w:pPr>
        <w:pStyle w:val="Normal"/>
        <w:ind w:hanging="720" w:start="720" w:end="0"/>
        <w:jc w:val="both"/>
        <w:rPr/>
      </w:pPr>
      <w:r>
        <w:rPr/>
      </w:r>
    </w:p>
    <w:p>
      <w:pPr>
        <w:pStyle w:val="Normal"/>
        <w:ind w:hanging="720" w:start="720" w:end="0"/>
        <w:jc w:val="both"/>
        <w:rPr/>
      </w:pPr>
      <w:r>
        <w:rPr/>
        <w:t>●</w:t>
      </w:r>
      <w:r>
        <w:rPr/>
        <w:tab/>
        <w:t>We can request a reduction or release of security which we have provided to them. They will then reduce our ACL or NSPL.</w:t>
      </w:r>
    </w:p>
    <w:p>
      <w:pPr>
        <w:pStyle w:val="Normal"/>
        <w:ind w:hanging="720" w:start="720" w:end="0"/>
        <w:jc w:val="both"/>
        <w:rPr/>
      </w:pPr>
      <w:r>
        <w:rPr/>
      </w:r>
    </w:p>
    <w:p>
      <w:pPr>
        <w:pStyle w:val="Normal"/>
        <w:ind w:hanging="720" w:start="720" w:end="0"/>
        <w:jc w:val="both"/>
        <w:rPr/>
      </w:pPr>
      <w:r>
        <w:rPr/>
        <w:t>(7)</w:t>
        <w:tab/>
      </w:r>
      <w:r>
        <w:rPr>
          <w:u w:val="single"/>
        </w:rPr>
        <w:t>Confidentiality and Assignment</w:t>
      </w:r>
    </w:p>
    <w:p>
      <w:pPr>
        <w:pStyle w:val="Normal"/>
        <w:ind w:hanging="720" w:start="720" w:end="0"/>
        <w:jc w:val="both"/>
        <w:rPr>
          <w:u w:val="single"/>
        </w:rPr>
      </w:pPr>
      <w:r>
        <w:rPr>
          <w:u w:val="single"/>
        </w:rPr>
      </w:r>
    </w:p>
    <w:p>
      <w:pPr>
        <w:pStyle w:val="Normal"/>
        <w:ind w:hanging="720" w:start="720" w:end="0"/>
        <w:jc w:val="both"/>
        <w:rPr/>
      </w:pPr>
      <w:r>
        <w:rPr/>
      </w:r>
    </w:p>
    <w:p>
      <w:pPr>
        <w:pStyle w:val="Normal"/>
        <w:ind w:hanging="720" w:start="720" w:end="0"/>
        <w:jc w:val="both"/>
        <w:rPr/>
      </w:pPr>
      <w:r>
        <w:rPr/>
        <w:t>●</w:t>
      </w:r>
      <w:r>
        <w:rPr/>
        <w:tab/>
        <w:t>Any of our Protected Information (widely defined as “any information relating to our affairs”) will not be disclosed by them to anyone other than their employees, advisers, sub-contractors or consultants. Likewise, we undertake not to disclose any of their Protected Information to anyone other than our employees, advisers, sub-contractors or consultants.</w:t>
      </w:r>
    </w:p>
    <w:p>
      <w:pPr>
        <w:pStyle w:val="Normal"/>
        <w:ind w:hanging="720" w:start="720" w:end="0"/>
        <w:jc w:val="both"/>
        <w:rPr/>
      </w:pPr>
      <w:r>
        <w:rPr/>
      </w:r>
    </w:p>
    <w:p>
      <w:pPr>
        <w:pStyle w:val="Normal"/>
        <w:ind w:hanging="720" w:start="720" w:end="0"/>
        <w:jc w:val="both"/>
        <w:rPr/>
      </w:pPr>
      <w:r>
        <w:rPr/>
        <w:t>●</w:t>
      </w:r>
      <w:r>
        <w:rPr/>
        <w:tab/>
        <w:t>The confidentiality provisions survive for 3 years after termination.</w:t>
      </w:r>
    </w:p>
    <w:p>
      <w:pPr>
        <w:pStyle w:val="Normal"/>
        <w:ind w:hanging="720" w:start="720" w:end="0"/>
        <w:jc w:val="both"/>
        <w:rPr/>
      </w:pPr>
      <w:r>
        <w:rPr/>
      </w:r>
    </w:p>
    <w:p>
      <w:pPr>
        <w:pStyle w:val="Normal"/>
        <w:ind w:hanging="720" w:start="720" w:end="0"/>
        <w:jc w:val="both"/>
        <w:rPr/>
      </w:pPr>
      <w:r>
        <w:rPr/>
        <w:t>●</w:t>
      </w:r>
      <w:r>
        <w:rPr/>
        <w:tab/>
        <w:t>They own all the IP rights in data which we provide to them but grant us a perpetual licence to use such data, which right survives termination.</w:t>
      </w:r>
    </w:p>
    <w:p>
      <w:pPr>
        <w:pStyle w:val="Normal"/>
        <w:ind w:hanging="720" w:start="720" w:end="0"/>
        <w:jc w:val="both"/>
        <w:rPr/>
      </w:pPr>
      <w:r>
        <w:rPr/>
      </w:r>
    </w:p>
    <w:p>
      <w:pPr>
        <w:pStyle w:val="Normal"/>
        <w:ind w:hanging="720" w:start="720" w:end="0"/>
        <w:jc w:val="both"/>
        <w:rPr/>
      </w:pPr>
      <w:r>
        <w:rPr/>
        <w:t>●</w:t>
      </w:r>
      <w:r>
        <w:rPr/>
        <w:tab/>
        <w:t>The agreement with them is not assignable without their consent.</w:t>
      </w:r>
    </w:p>
    <w:p>
      <w:pPr>
        <w:pStyle w:val="Normal"/>
        <w:ind w:hanging="720" w:start="720" w:end="0"/>
        <w:jc w:val="both"/>
        <w:rPr/>
      </w:pPr>
      <w:r>
        <w:rPr/>
      </w:r>
    </w:p>
    <w:p>
      <w:pPr>
        <w:pStyle w:val="Normal"/>
        <w:ind w:hanging="720" w:start="720" w:end="0"/>
        <w:jc w:val="both"/>
        <w:rPr/>
      </w:pPr>
      <w:r>
        <w:rPr/>
        <w:t>(8)</w:t>
        <w:tab/>
      </w:r>
      <w:r>
        <w:rPr>
          <w:u w:val="single"/>
        </w:rPr>
        <w:t>Boiler Plate</w:t>
      </w:r>
    </w:p>
    <w:p>
      <w:pPr>
        <w:pStyle w:val="Normal"/>
        <w:ind w:hanging="720" w:start="720" w:end="0"/>
        <w:jc w:val="both"/>
        <w:rPr/>
      </w:pPr>
      <w:r>
        <w:rPr/>
      </w:r>
    </w:p>
    <w:p>
      <w:pPr>
        <w:pStyle w:val="Normal"/>
        <w:ind w:hanging="720" w:start="720" w:end="0"/>
        <w:jc w:val="both"/>
        <w:rPr/>
      </w:pPr>
      <w:r>
        <w:rPr/>
        <w:t>●</w:t>
      </w:r>
      <w:r>
        <w:rPr/>
        <w:tab/>
        <w:t>They may subcontract their obligations. We can only sub-contract the obligation to make an Accurate Trade Nomination to a third party shipper.</w:t>
      </w:r>
    </w:p>
    <w:p>
      <w:pPr>
        <w:pStyle w:val="Normal"/>
        <w:ind w:hanging="720" w:start="720" w:end="0"/>
        <w:jc w:val="both"/>
        <w:rPr/>
      </w:pPr>
      <w:r>
        <w:rPr/>
      </w:r>
    </w:p>
    <w:p>
      <w:pPr>
        <w:pStyle w:val="Normal"/>
        <w:ind w:hanging="720" w:start="720" w:end="0"/>
        <w:jc w:val="both"/>
        <w:rPr/>
      </w:pPr>
      <w:r>
        <w:rPr/>
        <w:t>●</w:t>
      </w:r>
      <w:r>
        <w:rPr/>
        <w:tab/>
        <w:t>There is a dispute resolution clause whereby disputes are referred to senior management. The Rules are English law and are subject to the English Courts: there is no arbitration provision.</w:t>
      </w:r>
    </w:p>
    <w:p>
      <w:pPr>
        <w:pStyle w:val="Normal"/>
        <w:ind w:hanging="720" w:start="720" w:end="0"/>
        <w:jc w:val="both"/>
        <w:rPr/>
      </w:pPr>
      <w:r>
        <w:rPr/>
      </w:r>
    </w:p>
    <w:p>
      <w:pPr>
        <w:pStyle w:val="Normal"/>
        <w:ind w:hanging="720" w:start="720" w:end="0"/>
        <w:jc w:val="both"/>
        <w:rPr/>
      </w:pPr>
      <w:r>
        <w:rPr/>
        <w:t>●</w:t>
      </w:r>
      <w:r>
        <w:rPr/>
        <w:tab/>
        <w:t>They will hold records of Transactions for 6 years after the Delivery Date. We also undertake to hold reasonable records of the Transactions we undertake and that computer records are accessible and printable.</w:t>
      </w:r>
    </w:p>
    <w:p>
      <w:pPr>
        <w:pStyle w:val="Normal"/>
        <w:ind w:hanging="720" w:start="720" w:end="0"/>
        <w:jc w:val="both"/>
        <w:rPr/>
      </w:pPr>
      <w:r>
        <w:rPr/>
      </w:r>
    </w:p>
    <w:p>
      <w:pPr>
        <w:pStyle w:val="Normal"/>
        <w:ind w:hanging="720" w:start="720" w:end="0"/>
        <w:jc w:val="both"/>
        <w:rPr>
          <w:b/>
          <w:bCs/>
        </w:rPr>
      </w:pPr>
      <w:r>
        <w:rPr>
          <w:b/>
          <w:bCs/>
        </w:rPr>
        <w:t>Adam Duguid</w:t>
      </w:r>
    </w:p>
    <w:p>
      <w:pPr>
        <w:pStyle w:val="Normal"/>
        <w:ind w:hanging="720" w:start="720" w:end="0"/>
        <w:jc w:val="both"/>
        <w:rPr/>
      </w:pPr>
      <w:r>
        <w:rPr>
          <w:b/>
          <w:bCs/>
        </w:rPr>
        <w:t>25</w:t>
      </w:r>
      <w:r>
        <w:rPr>
          <w:b/>
          <w:bCs/>
          <w:vertAlign w:val="superscript"/>
        </w:rPr>
        <w:t>th</w:t>
      </w:r>
      <w:r>
        <w:rPr>
          <w:b/>
          <w:bCs/>
        </w:rPr>
        <w:t xml:space="preserve"> May 2001</w:t>
      </w:r>
    </w:p>
    <w:p>
      <w:pPr>
        <w:pStyle w:val="Normal"/>
        <w:ind w:hanging="720" w:start="720" w:end="0"/>
        <w:jc w:val="both"/>
        <w:rPr/>
      </w:pPr>
      <w:r>
        <w:rPr/>
      </w:r>
    </w:p>
    <w:p>
      <w:pPr>
        <w:pStyle w:val="Normal"/>
        <w:ind w:hanging="720" w:start="720" w:end="0"/>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ind w:hanging="720" w:start="720" w:end="0"/>
      <w:jc w:val="both"/>
    </w:pPr>
    <w:rPr>
      <w:b/>
      <w:bCs/>
    </w:rPr>
  </w:style>
  <w:style w:type="paragraph" w:styleId="BodyTextIndent">
    <w:name w:val="Body Text Indent"/>
    <w:basedOn w:val="Normal"/>
    <w:pPr>
      <w:ind w:hanging="720" w:start="72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2001-05-25T10:14:00Z</dcterms:created>
  <dc:creator>aduguid</dc:creator>
  <dc:description/>
  <dc:language>en-CA</dc:language>
  <cp:lastModifiedBy>lfields</cp:lastModifiedBy>
  <dcterms:modified xsi:type="dcterms:W3CDTF">2001-05-29T07:23:00Z</dcterms:modified>
  <cp:revision>5</cp:revision>
  <dc:subject/>
  <dc:title>SUMMARY OF ENEX RULES</dc:title>
</cp:coreProperties>
</file>