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talicParagraphCentered"/>
        <w:rPr/>
      </w:pPr>
      <w:r>
        <w:rPr/>
        <w:t>Session Structure</w:t>
      </w:r>
    </w:p>
    <w:p>
      <w:pPr>
        <w:pStyle w:val="BoldParagraphCentered"/>
        <w:rPr/>
      </w:pPr>
      <w:r>
        <w:rPr/>
        <w:t>Financial Outlook: Tequila Sunrise?</w:t>
      </w:r>
    </w:p>
    <w:p>
      <w:pPr>
        <w:pStyle w:val="CenteredNormal"/>
        <w:rPr/>
      </w:pPr>
      <w:r>
        <w:rPr/>
        <w:t>Monday 26 February 9.00 - 10.00</w:t>
      </w:r>
    </w:p>
    <w:p>
      <w:pPr>
        <w:pStyle w:val="CenteredNormal"/>
        <w:rPr/>
      </w:pPr>
      <w:r>
        <w:rPr/>
        <w:t>,</w:t>
      </w:r>
    </w:p>
    <w:p>
      <w:pPr>
        <w:pStyle w:val="Normal"/>
        <w:rPr/>
      </w:pPr>
      <w:r>
        <w:rPr/>
      </w:r>
    </w:p>
    <w:p>
      <w:pPr>
        <w:pStyle w:val="Normal"/>
        <w:rPr/>
      </w:pPr>
      <w:r>
        <w:rPr/>
        <w:t>Will the new administration continue the sound reforms adopted by Ernesto Zedillo in order to weatherproof the financial system against future turbulence in global markets? What is the overall state of the economic and financial situation three months into the Fox administration? What innovations in the economic programme does the new government intend to implement? What are the perspectives for the Mexican economy?</w:t>
      </w:r>
    </w:p>
    <w:p>
      <w:pPr>
        <w:pStyle w:val="Normal"/>
        <w:rPr/>
      </w:pPr>
      <w:r>
        <w:rPr/>
      </w:r>
    </w:p>
    <w:p>
      <w:pPr>
        <w:pStyle w:val="Normal"/>
        <w:rPr/>
      </w:pPr>
      <w:r>
        <w:rPr/>
        <w:t>The session will include:</w:t>
      </w:r>
    </w:p>
    <w:p>
      <w:pPr>
        <w:pStyle w:val="ListBullet"/>
        <w:numPr>
          <w:ilvl w:val="0"/>
          <w:numId w:val="1"/>
        </w:numPr>
        <w:ind w:hanging="0" w:start="0"/>
        <w:rPr/>
      </w:pPr>
      <w:r>
        <w:rPr>
          <w:b/>
        </w:rPr>
        <w:t>C. Fred Bergsten</w:t>
      </w:r>
      <w:r>
        <w:rPr/>
        <w:t>, Director, Institute for International Economics, USA</w:t>
      </w:r>
    </w:p>
    <w:p>
      <w:pPr>
        <w:pStyle w:val="ListBullet"/>
        <w:numPr>
          <w:ilvl w:val="0"/>
          <w:numId w:val="1"/>
        </w:numPr>
        <w:ind w:hanging="0" w:start="0"/>
        <w:rPr/>
      </w:pPr>
      <w:r>
        <w:rPr>
          <w:b/>
        </w:rPr>
        <w:t>David de Ferranti</w:t>
      </w:r>
      <w:r>
        <w:rPr/>
        <w:t>, Vice-President, Latin America and the Caribbean, World Bank, Washington DC</w:t>
      </w:r>
    </w:p>
    <w:p>
      <w:pPr>
        <w:pStyle w:val="ListBullet"/>
        <w:numPr>
          <w:ilvl w:val="0"/>
          <w:numId w:val="1"/>
        </w:numPr>
        <w:ind w:hanging="0" w:start="0"/>
        <w:rPr/>
      </w:pPr>
      <w:r>
        <w:rPr>
          <w:b/>
        </w:rPr>
        <w:t>Jacob A. Frenkel</w:t>
      </w:r>
      <w:r>
        <w:rPr/>
        <w:t>, Chairman, Sovereign Advisory Group and Global Financial Institutions Group, Merrill Lynch &amp; Company, United Kingdom</w:t>
      </w:r>
    </w:p>
    <w:p>
      <w:pPr>
        <w:pStyle w:val="ListBullet"/>
        <w:numPr>
          <w:ilvl w:val="0"/>
          <w:numId w:val="1"/>
        </w:numPr>
        <w:ind w:hanging="0" w:start="0"/>
        <w:rPr/>
      </w:pPr>
      <w:r>
        <w:rPr>
          <w:b/>
        </w:rPr>
        <w:t>Francisco Gil Díaz</w:t>
      </w:r>
      <w:r>
        <w:rPr/>
        <w:t>, Secretary of Finance of Mexico</w:t>
      </w:r>
    </w:p>
    <w:p>
      <w:pPr>
        <w:pStyle w:val="Normal"/>
        <w:rPr/>
      </w:pPr>
      <w:r>
        <w:rPr/>
      </w:r>
    </w:p>
    <w:p>
      <w:pPr>
        <w:pStyle w:val="Normal"/>
        <w:rPr/>
      </w:pPr>
      <w:r>
        <w:rPr/>
        <w:t>Moderated by</w:t>
      </w:r>
    </w:p>
    <w:p>
      <w:pPr>
        <w:pStyle w:val="ListBullet"/>
        <w:numPr>
          <w:ilvl w:val="0"/>
          <w:numId w:val="1"/>
        </w:numPr>
        <w:ind w:hanging="0" w:start="0"/>
        <w:rPr/>
      </w:pPr>
      <w:r>
        <w:rPr>
          <w:b/>
        </w:rPr>
        <w:t xml:space="preserve">Kenneth L. Lay </w:t>
      </w:r>
      <w:r>
        <w:rPr/>
        <w:t>, Chairman and Chief Executive Officer, Enron, USA</w:t>
      </w:r>
    </w:p>
    <w:p>
      <w:pPr>
        <w:pStyle w:val="Normal"/>
        <w:rPr/>
      </w:pPr>
      <w:r>
        <w:rPr/>
      </w:r>
    </w:p>
    <w:p>
      <w:pPr>
        <w:pStyle w:val="CenteredNormal"/>
        <w:rPr/>
      </w:pPr>
      <w:r>
        <w:rPr/>
        <w:t>************</w:t>
      </w:r>
    </w:p>
    <w:p>
      <w:pPr>
        <w:pStyle w:val="Header"/>
        <w:tabs>
          <w:tab w:val="clear" w:pos="4153"/>
          <w:tab w:val="clear" w:pos="8306"/>
        </w:tabs>
        <w:rPr/>
      </w:pPr>
      <w:r>
        <w:rPr/>
      </w:r>
    </w:p>
    <w:p>
      <w:pPr>
        <w:pStyle w:val="Normal"/>
        <w:widowControl w:val="false"/>
        <w:tabs>
          <w:tab w:val="clear" w:pos="720"/>
          <w:tab w:val="left" w:pos="360" w:leader="none"/>
        </w:tabs>
        <w:ind w:hanging="360" w:start="360" w:end="0"/>
        <w:rPr>
          <w:lang w:eastAsia="en-US"/>
        </w:rPr>
      </w:pPr>
      <w:r>
        <w:rPr>
          <w:lang w:eastAsia="en-US"/>
        </w:rPr>
        <w:t>1.</w:t>
        <w:tab/>
        <w:t>At 8.50, please come to the Speaker's Room for a 10 minute preparatory briefing.</w:t>
      </w:r>
    </w:p>
    <w:p>
      <w:pPr>
        <w:pStyle w:val="Normal"/>
        <w:widowControl w:val="false"/>
        <w:rPr>
          <w:lang w:eastAsia="en-US"/>
        </w:rPr>
      </w:pPr>
      <w:r>
        <w:rPr>
          <w:lang w:eastAsia="en-US"/>
        </w:rPr>
      </w:r>
    </w:p>
    <w:p>
      <w:pPr>
        <w:pStyle w:val="Normal"/>
        <w:widowControl w:val="false"/>
        <w:tabs>
          <w:tab w:val="clear" w:pos="720"/>
          <w:tab w:val="left" w:pos="360" w:leader="none"/>
        </w:tabs>
        <w:ind w:hanging="360" w:start="360" w:end="0"/>
        <w:rPr/>
      </w:pPr>
      <w:r>
        <w:rPr>
          <w:lang w:eastAsia="en-US"/>
        </w:rPr>
        <w:t>2.</w:t>
        <w:tab/>
        <w:t xml:space="preserve">At 9.00, </w:t>
      </w:r>
      <w:r>
        <w:rPr>
          <w:b/>
        </w:rPr>
        <w:t xml:space="preserve">Kenneth L. Lay </w:t>
      </w:r>
      <w:r>
        <w:rPr>
          <w:lang w:eastAsia="en-US"/>
        </w:rPr>
        <w:t>will briefly introduce speakers and set the stage for the discussion (5 minutes).</w:t>
      </w:r>
    </w:p>
    <w:p>
      <w:pPr>
        <w:pStyle w:val="Header"/>
        <w:widowControl w:val="false"/>
        <w:tabs>
          <w:tab w:val="clear" w:pos="4153"/>
          <w:tab w:val="clear" w:pos="8306"/>
        </w:tabs>
        <w:rPr>
          <w:lang w:eastAsia="en-US"/>
        </w:rPr>
      </w:pPr>
      <w:r>
        <w:rPr>
          <w:lang w:eastAsia="en-US"/>
        </w:rPr>
      </w:r>
    </w:p>
    <w:p>
      <w:pPr>
        <w:pStyle w:val="Normal"/>
        <w:widowControl w:val="false"/>
        <w:tabs>
          <w:tab w:val="clear" w:pos="720"/>
          <w:tab w:val="left" w:pos="360" w:leader="none"/>
        </w:tabs>
        <w:ind w:hanging="360" w:start="360" w:end="0"/>
        <w:rPr/>
      </w:pPr>
      <w:r>
        <w:rPr>
          <w:lang w:eastAsia="en-US"/>
        </w:rPr>
        <w:t>3.</w:t>
        <w:tab/>
      </w:r>
      <w:r>
        <w:rPr>
          <w:b/>
        </w:rPr>
        <w:t xml:space="preserve">Kenneth L. Lay </w:t>
      </w:r>
      <w:r>
        <w:rPr>
          <w:lang w:eastAsia="en-US"/>
        </w:rPr>
        <w:t>will call on each of the panelists (in the order that will be defined later) to speak to the issues raised in the session description (6 minutes for response).</w:t>
      </w:r>
    </w:p>
    <w:p>
      <w:pPr>
        <w:pStyle w:val="Normal"/>
        <w:widowControl w:val="false"/>
        <w:rPr>
          <w:lang w:eastAsia="en-US"/>
        </w:rPr>
      </w:pPr>
      <w:r>
        <w:rPr>
          <w:lang w:eastAsia="en-US"/>
        </w:rPr>
      </w:r>
    </w:p>
    <w:p>
      <w:pPr>
        <w:pStyle w:val="Normal"/>
        <w:widowControl w:val="false"/>
        <w:tabs>
          <w:tab w:val="clear" w:pos="720"/>
          <w:tab w:val="left" w:pos="360" w:leader="none"/>
        </w:tabs>
        <w:ind w:hanging="360" w:start="360" w:end="0"/>
        <w:rPr/>
      </w:pPr>
      <w:r>
        <w:rPr>
          <w:lang w:eastAsia="en-US"/>
        </w:rPr>
        <w:t>4.</w:t>
        <w:tab/>
      </w:r>
      <w:r>
        <w:rPr>
          <w:b/>
        </w:rPr>
        <w:t xml:space="preserve">Kenneth L. Lay </w:t>
      </w:r>
      <w:r>
        <w:rPr>
          <w:lang w:eastAsia="en-US"/>
        </w:rPr>
        <w:t>will then either briefly draw out 1-2 key points made by the panelists for additional comments / debate or immediately open the discussion to the floor for a question and answer period with the Mexico Meeting participants.</w:t>
      </w:r>
    </w:p>
    <w:p>
      <w:pPr>
        <w:pStyle w:val="Normal"/>
        <w:widowControl w:val="false"/>
        <w:rPr>
          <w:lang w:eastAsia="en-US"/>
        </w:rPr>
      </w:pPr>
      <w:r>
        <w:rPr>
          <w:lang w:eastAsia="en-US"/>
        </w:rPr>
      </w:r>
    </w:p>
    <w:p>
      <w:pPr>
        <w:pStyle w:val="Normal"/>
        <w:widowControl w:val="false"/>
        <w:tabs>
          <w:tab w:val="clear" w:pos="720"/>
          <w:tab w:val="left" w:pos="360" w:leader="none"/>
        </w:tabs>
        <w:ind w:hanging="360" w:start="360" w:end="0"/>
        <w:rPr/>
      </w:pPr>
      <w:r>
        <w:rPr>
          <w:lang w:eastAsia="en-US"/>
        </w:rPr>
        <w:t>5.</w:t>
        <w:tab/>
      </w:r>
      <w:r>
        <w:rPr>
          <w:b/>
        </w:rPr>
        <w:t xml:space="preserve">Kenneth L. Lay </w:t>
      </w:r>
      <w:r>
        <w:rPr>
          <w:lang w:eastAsia="en-US"/>
        </w:rPr>
        <w:t>will then take the final 5 minutes of the session to conclude the discussion, highlighting the key points made.</w:t>
      </w:r>
    </w:p>
    <w:p>
      <w:pPr>
        <w:pStyle w:val="Normal"/>
        <w:widowControl w:val="false"/>
        <w:rPr>
          <w:b/>
          <w:lang w:eastAsia="en-US"/>
        </w:rPr>
      </w:pPr>
      <w:r>
        <w:rPr>
          <w:b/>
          <w:lang w:eastAsia="en-US"/>
        </w:rPr>
      </w:r>
    </w:p>
    <w:p>
      <w:pPr>
        <w:pStyle w:val="Normal"/>
        <w:widowControl w:val="false"/>
        <w:rPr>
          <w:b/>
          <w:lang w:eastAsia="en-US"/>
        </w:rPr>
      </w:pPr>
      <w:r>
        <w:rPr>
          <w:b/>
          <w:i/>
          <w:lang w:eastAsia="en-US"/>
        </w:rPr>
        <w:t>''A system of lights will inform you when there is one minute left for your intervention (yellow light) and when your time is completed (red light)''</w:t>
      </w:r>
    </w:p>
    <w:p>
      <w:pPr>
        <w:pStyle w:val="Normal"/>
        <w:widowControl w:val="false"/>
        <w:rPr>
          <w:b/>
          <w:lang w:val="fr-FR" w:eastAsia="en-US"/>
        </w:rPr>
      </w:pPr>
      <w:r>
        <w:rPr>
          <w:b/>
          <w:lang w:val="fr-FR" w:eastAsia="en-US"/>
        </w:rPr>
      </w:r>
    </w:p>
    <w:p>
      <w:pPr>
        <w:pStyle w:val="Normal"/>
        <w:rPr>
          <w:lang w:val="fr-FR" w:eastAsia="en-US"/>
        </w:rPr>
      </w:pPr>
      <w:r>
        <w:rPr>
          <w:lang w:val="fr-FR" w:eastAsia="en-US"/>
        </w:rPr>
      </w:r>
    </w:p>
    <w:p>
      <w:pPr>
        <w:pStyle w:val="TopLine"/>
        <w:rPr>
          <w:sz w:val="16"/>
        </w:rPr>
      </w:pPr>
      <w:r>
        <w:rPr>
          <w:b/>
          <w:sz w:val="16"/>
        </w:rPr>
        <w:t>For Internal World Economic Forum use only</w:t>
      </w:r>
    </w:p>
    <w:tbl>
      <w:tblPr>
        <w:tblW w:w="10204" w:type="dxa"/>
        <w:jc w:val="start"/>
        <w:tblInd w:w="0" w:type="dxa"/>
        <w:tblLayout w:type="fixed"/>
        <w:tblCellMar>
          <w:top w:w="0" w:type="dxa"/>
          <w:start w:w="108" w:type="dxa"/>
          <w:bottom w:w="0" w:type="dxa"/>
          <w:end w:w="108" w:type="dxa"/>
        </w:tblCellMar>
      </w:tblPr>
      <w:tblGrid>
        <w:gridCol w:w="425"/>
        <w:gridCol w:w="2126"/>
        <w:gridCol w:w="425"/>
        <w:gridCol w:w="2126"/>
        <w:gridCol w:w="425"/>
        <w:gridCol w:w="2126"/>
        <w:gridCol w:w="425"/>
        <w:gridCol w:w="2126"/>
      </w:tblGrid>
      <w:tr>
        <w:trPr/>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Laser Pointer</w:t>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Roving Microphone</w:t>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Overhead Projector</w:t>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TV</w:t>
            </w:r>
          </w:p>
        </w:tc>
      </w:tr>
      <w:tr>
        <w:trPr/>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LCD Powerpoint</w:t>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Video Projector</w:t>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Teleprompter</w:t>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Computer</w:t>
            </w:r>
          </w:p>
        </w:tc>
      </w:tr>
      <w:tr>
        <w:trPr/>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Voting System</w:t>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CD Player</w:t>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Slide Projector</w:t>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Internet Demonstration</w:t>
            </w:r>
          </w:p>
        </w:tc>
      </w:tr>
      <w:tr>
        <w:trPr/>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Flip Chart</w:t>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rPr>
                <w:sz w:val="16"/>
              </w:rPr>
            </w:pPr>
            <w:r>
              <w:rPr>
                <w:sz w:val="16"/>
              </w:rPr>
            </w:r>
          </w:p>
        </w:tc>
        <w:tc>
          <w:tcPr>
            <w:tcW w:w="212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rPr>
                <w:sz w:val="16"/>
              </w:rPr>
            </w:pPr>
            <w:r>
              <w:rPr>
                <w:sz w:val="16"/>
              </w:rPr>
            </w:r>
          </w:p>
        </w:tc>
        <w:tc>
          <w:tcPr>
            <w:tcW w:w="212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rPr>
                <w:sz w:val="16"/>
              </w:rPr>
            </w:pPr>
            <w:r>
              <w:rPr>
                <w:sz w:val="16"/>
              </w:rPr>
            </w:r>
          </w:p>
        </w:tc>
        <w:tc>
          <w:tcPr>
            <w:tcW w:w="212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bl>
    <w:p>
      <w:pPr>
        <w:pStyle w:val="Normal"/>
        <w:rPr>
          <w:sz w:val="16"/>
        </w:rPr>
      </w:pPr>
      <w:r>
        <w:rPr>
          <w:sz w:val="16"/>
        </w:rPr>
      </w:r>
      <w:r>
        <w:br w:type="page"/>
      </w:r>
    </w:p>
    <w:p>
      <w:pPr>
        <w:pStyle w:val="ItalicParagraphCentered"/>
        <w:rPr/>
      </w:pPr>
      <w:r>
        <w:rPr/>
        <w:t>Contact Information</w:t>
      </w:r>
    </w:p>
    <w:p>
      <w:pPr>
        <w:pStyle w:val="BoldParagraphCentered"/>
        <w:rPr/>
      </w:pPr>
      <w:r>
        <w:rPr/>
        <w:t>Financial Outlook: Tequila Sunrise?</w:t>
      </w:r>
    </w:p>
    <w:p>
      <w:pPr>
        <w:pStyle w:val="CenteredNormal"/>
        <w:rPr/>
      </w:pPr>
      <w:r>
        <w:rPr/>
        <w:t>Monday 26 February 9.00 - 10.00</w:t>
      </w:r>
    </w:p>
    <w:p>
      <w:pPr>
        <w:pStyle w:val="CenteredNormal"/>
        <w:rPr/>
      </w:pPr>
      <w:r>
        <w:rPr/>
        <w:t>,</w:t>
      </w:r>
    </w:p>
    <w:p>
      <w:pPr>
        <w:pStyle w:val="Normal"/>
        <w:rPr/>
      </w:pPr>
      <w:r>
        <w:rPr/>
      </w:r>
    </w:p>
    <w:p>
      <w:pPr>
        <w:pStyle w:val="Normal"/>
        <w:rPr>
          <w:b/>
        </w:rPr>
      </w:pPr>
      <w:r>
        <w:rPr>
          <w:b/>
        </w:rPr>
        <w:t xml:space="preserve">David de Ferranti ** </w:t>
      </w:r>
    </w:p>
    <w:p>
      <w:pPr>
        <w:pStyle w:val="Normal"/>
        <w:rPr/>
      </w:pPr>
      <w:r>
        <w:rPr/>
        <w:t>Vice-President, Latin America and the Caribbean, World Bank, Washington DC</w:t>
      </w:r>
    </w:p>
    <w:p>
      <w:pPr>
        <w:pStyle w:val="Normal"/>
        <w:rPr/>
      </w:pPr>
      <w:r>
        <w:rPr/>
        <w:t xml:space="preserve">Phone: </w:t>
        <w:tab/>
        <w:t>1 202/473 87 29</w:t>
      </w:r>
    </w:p>
    <w:p>
      <w:pPr>
        <w:pStyle w:val="Normal"/>
        <w:rPr/>
      </w:pPr>
      <w:r>
        <w:rPr/>
        <w:t xml:space="preserve">Fax: </w:t>
        <w:tab/>
        <w:t>1 202/676 92 71</w:t>
      </w:r>
    </w:p>
    <w:p>
      <w:pPr>
        <w:pStyle w:val="Normal"/>
        <w:rPr/>
      </w:pPr>
      <w:r>
        <w:rPr/>
        <w:t xml:space="preserve">E-mail: </w:t>
        <w:tab/>
        <w:t>ddeferranti@worldbank.org</w:t>
      </w:r>
    </w:p>
    <w:p>
      <w:pPr>
        <w:pStyle w:val="Normal"/>
        <w:rPr/>
      </w:pPr>
      <w:r>
        <w:rPr/>
      </w:r>
    </w:p>
    <w:p>
      <w:pPr>
        <w:pStyle w:val="Normal"/>
        <w:rPr>
          <w:b/>
        </w:rPr>
      </w:pPr>
      <w:r>
        <w:rPr>
          <w:b/>
        </w:rPr>
        <w:t xml:space="preserve">Jacob A. Frenkel ** </w:t>
      </w:r>
    </w:p>
    <w:p>
      <w:pPr>
        <w:pStyle w:val="Normal"/>
        <w:rPr/>
      </w:pPr>
      <w:r>
        <w:rPr/>
        <w:t>Chairman, Sovereign Advisory Group and Global Financial Institutions Group, Merrill Lynch &amp; Company, United Kingdom</w:t>
      </w:r>
    </w:p>
    <w:p>
      <w:pPr>
        <w:pStyle w:val="Normal"/>
        <w:rPr/>
      </w:pPr>
      <w:r>
        <w:rPr/>
        <w:t xml:space="preserve">Phone: </w:t>
        <w:tab/>
        <w:t>44 20/7867 4710</w:t>
      </w:r>
    </w:p>
    <w:p>
      <w:pPr>
        <w:pStyle w:val="Normal"/>
        <w:rPr/>
      </w:pPr>
      <w:r>
        <w:rPr/>
        <w:t xml:space="preserve">Fax: </w:t>
        <w:tab/>
        <w:t>44 20/7867 3012</w:t>
      </w:r>
    </w:p>
    <w:p>
      <w:pPr>
        <w:pStyle w:val="Normal"/>
        <w:rPr/>
      </w:pPr>
      <w:r>
        <w:rPr/>
        <w:t xml:space="preserve">E-mail: </w:t>
        <w:tab/>
        <w:t>jacob_frenkel@ml.com</w:t>
      </w:r>
    </w:p>
    <w:p>
      <w:pPr>
        <w:pStyle w:val="Normal"/>
        <w:rPr/>
      </w:pPr>
      <w:r>
        <w:rPr/>
      </w:r>
    </w:p>
    <w:p>
      <w:pPr>
        <w:pStyle w:val="Normal"/>
        <w:rPr/>
      </w:pPr>
      <w:r>
        <w:rPr>
          <w:b/>
        </w:rPr>
        <w:t xml:space="preserve">Celia Lozano, </w:t>
      </w:r>
      <w:r>
        <w:rPr/>
        <w:t>Contact person, SECRETARIAT OF FINANCE AND PUBLIC CREDIT OF MEXICO, Mexico</w:t>
      </w:r>
    </w:p>
    <w:p>
      <w:pPr>
        <w:pStyle w:val="Normal"/>
        <w:rPr>
          <w:b/>
        </w:rPr>
      </w:pPr>
      <w:r>
        <w:rPr>
          <w:b/>
        </w:rPr>
        <w:t xml:space="preserve">Contact for H.E. Mr Francisco Gil Díaz </w:t>
      </w:r>
    </w:p>
    <w:p>
      <w:pPr>
        <w:pStyle w:val="Normal"/>
        <w:rPr/>
      </w:pPr>
      <w:r>
        <w:rPr/>
        <w:t>Secretary of Finance of Mexico</w:t>
      </w:r>
    </w:p>
    <w:p>
      <w:pPr>
        <w:pStyle w:val="Normal"/>
        <w:rPr/>
      </w:pPr>
      <w:r>
        <w:rPr/>
        <w:t xml:space="preserve">Phone: </w:t>
        <w:tab/>
        <w:t>52 5/228 1052</w:t>
      </w:r>
    </w:p>
    <w:p>
      <w:pPr>
        <w:pStyle w:val="Normal"/>
        <w:rPr/>
      </w:pPr>
      <w:r>
        <w:rPr/>
        <w:t xml:space="preserve">Fax: </w:t>
        <w:tab/>
        <w:t>52 5/687 4082</w:t>
      </w:r>
    </w:p>
    <w:p>
      <w:pPr>
        <w:pStyle w:val="Normal"/>
        <w:rPr/>
      </w:pPr>
      <w:r>
        <w:rPr/>
        <w:t xml:space="preserve">E-mail: </w:t>
        <w:tab/>
        <w:t>clozano@shcp.gob.mx</w:t>
      </w:r>
    </w:p>
    <w:p>
      <w:pPr>
        <w:pStyle w:val="Normal"/>
        <w:rPr/>
      </w:pPr>
      <w:r>
        <w:rPr/>
      </w:r>
    </w:p>
    <w:p>
      <w:pPr>
        <w:pStyle w:val="Normal"/>
        <w:rPr>
          <w:b/>
        </w:rPr>
      </w:pPr>
      <w:r>
        <w:rPr>
          <w:b/>
        </w:rPr>
        <w:t xml:space="preserve">C. Fred Bergsten ** </w:t>
      </w:r>
    </w:p>
    <w:p>
      <w:pPr>
        <w:pStyle w:val="Normal"/>
        <w:rPr/>
      </w:pPr>
      <w:r>
        <w:rPr/>
        <w:t>Director, Institute for International Economics, USA</w:t>
      </w:r>
    </w:p>
    <w:p>
      <w:pPr>
        <w:pStyle w:val="Normal"/>
        <w:rPr/>
      </w:pPr>
      <w:r>
        <w:rPr/>
        <w:t xml:space="preserve">Phone: </w:t>
        <w:tab/>
        <w:t>1 202/328 6293</w:t>
      </w:r>
    </w:p>
    <w:p>
      <w:pPr>
        <w:pStyle w:val="Normal"/>
        <w:rPr/>
      </w:pPr>
      <w:r>
        <w:rPr/>
        <w:t xml:space="preserve">Fax: </w:t>
        <w:tab/>
        <w:t>1 202/483 0193</w:t>
      </w:r>
    </w:p>
    <w:p>
      <w:pPr>
        <w:pStyle w:val="Normal"/>
        <w:rPr/>
      </w:pPr>
      <w:r>
        <w:rPr/>
        <w:t xml:space="preserve">E-mail: </w:t>
        <w:tab/>
        <w:t>alreeves@iie.com or anelson@iie.com</w:t>
      </w:r>
    </w:p>
    <w:p>
      <w:pPr>
        <w:pStyle w:val="Normal"/>
        <w:rPr/>
      </w:pPr>
      <w:r>
        <w:rPr/>
      </w:r>
    </w:p>
    <w:p>
      <w:pPr>
        <w:pStyle w:val="Normal"/>
        <w:rPr>
          <w:b/>
        </w:rPr>
      </w:pPr>
      <w:r>
        <w:rPr>
          <w:b/>
        </w:rPr>
        <w:t xml:space="preserve">Kenneth L. Lay * </w:t>
      </w:r>
    </w:p>
    <w:p>
      <w:pPr>
        <w:pStyle w:val="Normal"/>
        <w:rPr/>
      </w:pPr>
      <w:r>
        <w:rPr/>
        <w:t>Chairman and Chief Executive Officer, Enron, USA</w:t>
      </w:r>
    </w:p>
    <w:p>
      <w:pPr>
        <w:pStyle w:val="Normal"/>
        <w:rPr/>
      </w:pPr>
      <w:r>
        <w:rPr/>
        <w:t xml:space="preserve">Phone: </w:t>
        <w:tab/>
        <w:t>1 713/853 6773</w:t>
      </w:r>
    </w:p>
    <w:p>
      <w:pPr>
        <w:pStyle w:val="Normal"/>
        <w:rPr/>
      </w:pPr>
      <w:r>
        <w:rPr/>
        <w:t xml:space="preserve">Fax: </w:t>
        <w:tab/>
        <w:t>1 713/853 9479</w:t>
      </w:r>
    </w:p>
    <w:p>
      <w:pPr>
        <w:pStyle w:val="Normal"/>
        <w:rPr/>
      </w:pPr>
      <w:r>
        <w:rPr/>
        <w:t xml:space="preserve">E-mail: </w:t>
        <w:tab/>
        <w:t>klay@enron.com</w:t>
      </w:r>
    </w:p>
    <w:p>
      <w:pPr>
        <w:pStyle w:val="Normal"/>
        <w:rPr/>
      </w:pPr>
      <w:r>
        <w:rPr/>
      </w:r>
      <w:r>
        <w:br w:type="page"/>
      </w:r>
    </w:p>
    <w:p>
      <w:pPr>
        <w:pStyle w:val="ItalicParagraphCentered"/>
        <w:rPr/>
      </w:pPr>
      <w:r>
        <w:rPr/>
        <w:t>Session Structure</w:t>
      </w:r>
    </w:p>
    <w:p>
      <w:pPr>
        <w:pStyle w:val="BoldParagraphCentered"/>
        <w:rPr/>
      </w:pPr>
      <w:r>
        <w:rPr/>
        <w:t>The E-Impact</w:t>
      </w:r>
    </w:p>
    <w:p>
      <w:pPr>
        <w:pStyle w:val="CenteredNormal"/>
        <w:rPr/>
      </w:pPr>
      <w:r>
        <w:rPr/>
        <w:t>Tuesday 27 February 12.30 - 13.30</w:t>
      </w:r>
    </w:p>
    <w:p>
      <w:pPr>
        <w:pStyle w:val="CenteredNormal"/>
        <w:rPr/>
      </w:pPr>
      <w:r>
        <w:rPr/>
        <w:t>,</w:t>
      </w:r>
    </w:p>
    <w:p>
      <w:pPr>
        <w:pStyle w:val="Normal"/>
        <w:rPr/>
      </w:pPr>
      <w:r>
        <w:rPr/>
      </w:r>
    </w:p>
    <w:p>
      <w:pPr>
        <w:pStyle w:val="Normal"/>
        <w:rPr/>
      </w:pPr>
      <w:r>
        <w:rPr/>
        <w:t>Is Mexico ready for the Internet age? How high are the rates of Internet connectivity and mobile phone usage? Is a system of high-speed broadband being deployed? How far is e-commerce developed? Primarily b2c or b2b? Do privacy laws sufficiently protect online customers? Does a moratorium on Internet sales tax exist and, if so, will the new government keep it in place? How can e-commerce be regulated to combat fraud and provide a stimulating environment for business to thrive? Will the Internet be an equalizing vector?</w:t>
      </w:r>
    </w:p>
    <w:p>
      <w:pPr>
        <w:pStyle w:val="Normal"/>
        <w:rPr/>
      </w:pPr>
      <w:r>
        <w:rPr/>
      </w:r>
    </w:p>
    <w:p>
      <w:pPr>
        <w:pStyle w:val="Normal"/>
        <w:rPr/>
      </w:pPr>
      <w:r>
        <w:rPr/>
        <w:t>The session will include:</w:t>
      </w:r>
    </w:p>
    <w:p>
      <w:pPr>
        <w:pStyle w:val="ListBullet"/>
        <w:numPr>
          <w:ilvl w:val="0"/>
          <w:numId w:val="1"/>
        </w:numPr>
        <w:ind w:hanging="0" w:start="0"/>
        <w:rPr/>
      </w:pPr>
      <w:r>
        <w:rPr>
          <w:b/>
        </w:rPr>
        <w:t>Félix García Viejobueno</w:t>
      </w:r>
      <w:r>
        <w:rPr/>
        <w:t>, Vice-President, International Sales and E-Commerce, Iberia, Spain</w:t>
      </w:r>
    </w:p>
    <w:p>
      <w:pPr>
        <w:pStyle w:val="ListBullet"/>
        <w:numPr>
          <w:ilvl w:val="0"/>
          <w:numId w:val="1"/>
        </w:numPr>
        <w:ind w:hanging="0" w:start="0"/>
        <w:rPr/>
      </w:pPr>
      <w:r>
        <w:rPr>
          <w:b/>
        </w:rPr>
        <w:t>Timothy M. Kingston</w:t>
      </w:r>
      <w:r>
        <w:rPr/>
        <w:t>, Managing Director, Investment Banking, Latin America, Goldman Sachs, USA</w:t>
      </w:r>
    </w:p>
    <w:p>
      <w:pPr>
        <w:pStyle w:val="ListBullet"/>
        <w:numPr>
          <w:ilvl w:val="0"/>
          <w:numId w:val="1"/>
        </w:numPr>
        <w:ind w:hanging="0" w:start="0"/>
        <w:rPr/>
      </w:pPr>
      <w:r>
        <w:rPr>
          <w:b/>
        </w:rPr>
        <w:t>Kenneth L. Lay</w:t>
      </w:r>
      <w:r>
        <w:rPr/>
        <w:t>, Chairman and Chief Executive Officer, Enron, USA</w:t>
      </w:r>
    </w:p>
    <w:p>
      <w:pPr>
        <w:pStyle w:val="ListBullet"/>
        <w:numPr>
          <w:ilvl w:val="0"/>
          <w:numId w:val="1"/>
        </w:numPr>
        <w:ind w:hanging="0" w:start="0"/>
        <w:rPr/>
      </w:pPr>
      <w:r>
        <w:rPr>
          <w:b/>
        </w:rPr>
        <w:t>Thomas B. McGrath</w:t>
      </w:r>
      <w:r>
        <w:rPr/>
        <w:t>, Executive Vice-President, Viacom Entertainment Group, USA</w:t>
      </w:r>
    </w:p>
    <w:p>
      <w:pPr>
        <w:pStyle w:val="Normal"/>
        <w:rPr/>
      </w:pPr>
      <w:r>
        <w:rPr/>
      </w:r>
    </w:p>
    <w:p>
      <w:pPr>
        <w:pStyle w:val="Normal"/>
        <w:rPr/>
      </w:pPr>
      <w:r>
        <w:rPr/>
        <w:t>Moderated by</w:t>
      </w:r>
    </w:p>
    <w:p>
      <w:pPr>
        <w:pStyle w:val="ListBullet"/>
        <w:numPr>
          <w:ilvl w:val="0"/>
          <w:numId w:val="1"/>
        </w:numPr>
        <w:ind w:hanging="0" w:start="0"/>
        <w:rPr/>
      </w:pPr>
      <w:r>
        <w:rPr>
          <w:b/>
        </w:rPr>
        <w:t>Raúl Mendez</w:t>
      </w:r>
      <w:r>
        <w:rPr/>
        <w:t>, Director-General, Booz, Allen &amp; Hamilton, Mexico</w:t>
      </w:r>
    </w:p>
    <w:p>
      <w:pPr>
        <w:pStyle w:val="Normal"/>
        <w:rPr/>
      </w:pPr>
      <w:r>
        <w:rPr/>
      </w:r>
    </w:p>
    <w:p>
      <w:pPr>
        <w:pStyle w:val="CenteredNormal"/>
        <w:rPr/>
      </w:pPr>
      <w:r>
        <w:rPr/>
        <w:t>************</w:t>
      </w:r>
    </w:p>
    <w:p>
      <w:pPr>
        <w:pStyle w:val="Normal"/>
        <w:rPr/>
      </w:pPr>
      <w:r>
        <w:rPr/>
      </w:r>
    </w:p>
    <w:p>
      <w:pPr>
        <w:pStyle w:val="Normal"/>
        <w:widowControl w:val="false"/>
        <w:tabs>
          <w:tab w:val="clear" w:pos="720"/>
          <w:tab w:val="left" w:pos="360" w:leader="none"/>
        </w:tabs>
        <w:ind w:hanging="360" w:start="360" w:end="0"/>
        <w:rPr>
          <w:lang w:eastAsia="en-US"/>
        </w:rPr>
      </w:pPr>
      <w:r>
        <w:rPr>
          <w:lang w:eastAsia="en-US"/>
        </w:rPr>
        <w:t>1.</w:t>
        <w:tab/>
        <w:t>At 12.15, please come to the Speaker's Room for a 10 minute preparatory briefing.</w:t>
      </w:r>
    </w:p>
    <w:p>
      <w:pPr>
        <w:pStyle w:val="Normal"/>
        <w:widowControl w:val="false"/>
        <w:rPr>
          <w:lang w:eastAsia="en-US"/>
        </w:rPr>
      </w:pPr>
      <w:r>
        <w:rPr>
          <w:lang w:eastAsia="en-US"/>
        </w:rPr>
      </w:r>
    </w:p>
    <w:p>
      <w:pPr>
        <w:pStyle w:val="Normal"/>
        <w:widowControl w:val="false"/>
        <w:tabs>
          <w:tab w:val="clear" w:pos="720"/>
          <w:tab w:val="left" w:pos="360" w:leader="none"/>
        </w:tabs>
        <w:ind w:hanging="360" w:start="360" w:end="0"/>
        <w:rPr/>
      </w:pPr>
      <w:r>
        <w:rPr>
          <w:lang w:eastAsia="en-US"/>
        </w:rPr>
        <w:t>2.</w:t>
        <w:tab/>
        <w:t xml:space="preserve">At 12.30, </w:t>
      </w:r>
      <w:r>
        <w:rPr>
          <w:b/>
        </w:rPr>
        <w:t>Raúl Mendez</w:t>
      </w:r>
      <w:r>
        <w:rPr>
          <w:lang w:eastAsia="en-US"/>
        </w:rPr>
        <w:t xml:space="preserve"> will briefly introduce speakers and set the stage for the discussion (5 minutes).</w:t>
      </w:r>
    </w:p>
    <w:p>
      <w:pPr>
        <w:pStyle w:val="Normal"/>
        <w:widowControl w:val="false"/>
        <w:rPr>
          <w:lang w:eastAsia="en-US"/>
        </w:rPr>
      </w:pPr>
      <w:r>
        <w:rPr>
          <w:lang w:eastAsia="en-US"/>
        </w:rPr>
      </w:r>
    </w:p>
    <w:p>
      <w:pPr>
        <w:pStyle w:val="Normal"/>
        <w:widowControl w:val="false"/>
        <w:tabs>
          <w:tab w:val="clear" w:pos="720"/>
          <w:tab w:val="left" w:pos="360" w:leader="none"/>
        </w:tabs>
        <w:ind w:hanging="360" w:start="360" w:end="0"/>
        <w:rPr/>
      </w:pPr>
      <w:r>
        <w:rPr>
          <w:lang w:eastAsia="en-US"/>
        </w:rPr>
        <w:t>3.</w:t>
        <w:tab/>
      </w:r>
      <w:r>
        <w:rPr>
          <w:b/>
        </w:rPr>
        <w:t>Raúl Mendez</w:t>
      </w:r>
      <w:r>
        <w:rPr>
          <w:lang w:eastAsia="en-US"/>
        </w:rPr>
        <w:t xml:space="preserve"> will call on each of the panelists in the alphabetical order to speak to the issues raised in the session description (6 minutes for response).</w:t>
      </w:r>
    </w:p>
    <w:p>
      <w:pPr>
        <w:pStyle w:val="Normal"/>
        <w:widowControl w:val="false"/>
        <w:rPr>
          <w:lang w:eastAsia="en-US"/>
        </w:rPr>
      </w:pPr>
      <w:r>
        <w:rPr>
          <w:lang w:eastAsia="en-US"/>
        </w:rPr>
      </w:r>
    </w:p>
    <w:p>
      <w:pPr>
        <w:pStyle w:val="Normal"/>
        <w:widowControl w:val="false"/>
        <w:tabs>
          <w:tab w:val="clear" w:pos="720"/>
          <w:tab w:val="left" w:pos="360" w:leader="none"/>
        </w:tabs>
        <w:ind w:hanging="360" w:start="360" w:end="0"/>
        <w:rPr/>
      </w:pPr>
      <w:r>
        <w:rPr>
          <w:lang w:eastAsia="en-US"/>
        </w:rPr>
        <w:t>4.</w:t>
        <w:tab/>
      </w:r>
      <w:r>
        <w:rPr>
          <w:b/>
        </w:rPr>
        <w:t>Raúl Mendez</w:t>
      </w:r>
      <w:r>
        <w:rPr>
          <w:lang w:eastAsia="en-US"/>
        </w:rPr>
        <w:t xml:space="preserve"> will then either briefly draw out 1-2 key points made by the panelists for additional comments / debate or immediately open the discussion to the floor for a question and answer period with the Mexico Meeting participants.</w:t>
      </w:r>
    </w:p>
    <w:p>
      <w:pPr>
        <w:pStyle w:val="Normal"/>
        <w:widowControl w:val="false"/>
        <w:rPr>
          <w:lang w:eastAsia="en-US"/>
        </w:rPr>
      </w:pPr>
      <w:r>
        <w:rPr>
          <w:lang w:eastAsia="en-US"/>
        </w:rPr>
      </w:r>
    </w:p>
    <w:p>
      <w:pPr>
        <w:pStyle w:val="Normal"/>
        <w:widowControl w:val="false"/>
        <w:tabs>
          <w:tab w:val="clear" w:pos="720"/>
          <w:tab w:val="left" w:pos="360" w:leader="none"/>
        </w:tabs>
        <w:ind w:hanging="360" w:start="360" w:end="0"/>
        <w:rPr/>
      </w:pPr>
      <w:r>
        <w:rPr>
          <w:lang w:eastAsia="en-US"/>
        </w:rPr>
        <w:t>5.</w:t>
        <w:tab/>
      </w:r>
      <w:r>
        <w:rPr>
          <w:b/>
        </w:rPr>
        <w:t>Raúl Mendez</w:t>
      </w:r>
      <w:r>
        <w:rPr>
          <w:lang w:eastAsia="en-US"/>
        </w:rPr>
        <w:t xml:space="preserve"> will then take the final 5 minutes of the session to conclude the discussion, highlighting the key points made.</w:t>
      </w:r>
    </w:p>
    <w:p>
      <w:pPr>
        <w:pStyle w:val="Normal"/>
        <w:widowControl w:val="false"/>
        <w:rPr>
          <w:b/>
          <w:lang w:eastAsia="en-US"/>
        </w:rPr>
      </w:pPr>
      <w:r>
        <w:rPr>
          <w:b/>
          <w:lang w:eastAsia="en-US"/>
        </w:rPr>
      </w:r>
    </w:p>
    <w:p>
      <w:pPr>
        <w:pStyle w:val="Normal"/>
        <w:widowControl w:val="false"/>
        <w:rPr>
          <w:b/>
          <w:lang w:eastAsia="en-US"/>
        </w:rPr>
      </w:pPr>
      <w:r>
        <w:rPr>
          <w:b/>
          <w:i/>
          <w:lang w:eastAsia="en-US"/>
        </w:rPr>
        <w:t>''A system of lights will inform you when there is one minute left for your intervention (yellow light) and when your time is completed (red light)''</w:t>
      </w:r>
    </w:p>
    <w:p>
      <w:pPr>
        <w:pStyle w:val="Normal"/>
        <w:widowControl w:val="false"/>
        <w:rPr>
          <w:b/>
          <w:lang w:val="fr-FR" w:eastAsia="en-US"/>
        </w:rPr>
      </w:pPr>
      <w:r>
        <w:rPr>
          <w:b/>
          <w:lang w:val="fr-FR" w:eastAsia="en-US"/>
        </w:rPr>
      </w:r>
    </w:p>
    <w:p>
      <w:pPr>
        <w:pStyle w:val="Normal"/>
        <w:rPr>
          <w:lang w:val="fr-FR" w:eastAsia="en-US"/>
        </w:rPr>
      </w:pPr>
      <w:r>
        <w:rPr>
          <w:lang w:val="fr-FR" w:eastAsia="en-US"/>
        </w:rPr>
      </w:r>
    </w:p>
    <w:p>
      <w:pPr>
        <w:pStyle w:val="TopLine"/>
        <w:rPr>
          <w:sz w:val="16"/>
        </w:rPr>
      </w:pPr>
      <w:r>
        <w:rPr>
          <w:b/>
          <w:sz w:val="16"/>
        </w:rPr>
        <w:t>For Internal World Economic Forum use only</w:t>
      </w:r>
    </w:p>
    <w:tbl>
      <w:tblPr>
        <w:tblW w:w="10204" w:type="dxa"/>
        <w:jc w:val="start"/>
        <w:tblInd w:w="0" w:type="dxa"/>
        <w:tblLayout w:type="fixed"/>
        <w:tblCellMar>
          <w:top w:w="0" w:type="dxa"/>
          <w:start w:w="108" w:type="dxa"/>
          <w:bottom w:w="0" w:type="dxa"/>
          <w:end w:w="108" w:type="dxa"/>
        </w:tblCellMar>
      </w:tblPr>
      <w:tblGrid>
        <w:gridCol w:w="425"/>
        <w:gridCol w:w="2126"/>
        <w:gridCol w:w="425"/>
        <w:gridCol w:w="2126"/>
        <w:gridCol w:w="425"/>
        <w:gridCol w:w="2126"/>
        <w:gridCol w:w="425"/>
        <w:gridCol w:w="2126"/>
      </w:tblGrid>
      <w:tr>
        <w:trPr/>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Laser Pointer</w:t>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Roving Microphone</w:t>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Overhead Projector</w:t>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TV</w:t>
            </w:r>
          </w:p>
        </w:tc>
      </w:tr>
      <w:tr>
        <w:trPr/>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LCD Powerpoint</w:t>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Video Projector</w:t>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Teleprompter</w:t>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Computer</w:t>
            </w:r>
          </w:p>
        </w:tc>
      </w:tr>
      <w:tr>
        <w:trPr/>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Voting System</w:t>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CD Player</w:t>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Slide Projector</w:t>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Internet Demonstration</w:t>
            </w:r>
          </w:p>
        </w:tc>
      </w:tr>
      <w:tr>
        <w:trPr/>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rPr>
                <w:rFonts w:eastAsia="Arial"/>
                <w:sz w:val="16"/>
              </w:rPr>
            </w:pPr>
            <w:r>
              <w:rPr>
                <w:rFonts w:eastAsia="Arial"/>
                <w:sz w:val="16"/>
              </w:rPr>
              <w:t xml:space="preserve"> </w:t>
            </w:r>
          </w:p>
        </w:tc>
        <w:tc>
          <w:tcPr>
            <w:tcW w:w="2126"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Flip Chart</w:t>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rPr>
                <w:sz w:val="16"/>
              </w:rPr>
            </w:pPr>
            <w:r>
              <w:rPr>
                <w:sz w:val="16"/>
              </w:rPr>
            </w:r>
          </w:p>
        </w:tc>
        <w:tc>
          <w:tcPr>
            <w:tcW w:w="212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rPr>
                <w:sz w:val="16"/>
              </w:rPr>
            </w:pPr>
            <w:r>
              <w:rPr>
                <w:sz w:val="16"/>
              </w:rPr>
            </w:r>
          </w:p>
        </w:tc>
        <w:tc>
          <w:tcPr>
            <w:tcW w:w="212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425"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rPr>
                <w:sz w:val="16"/>
              </w:rPr>
            </w:pPr>
            <w:r>
              <w:rPr>
                <w:sz w:val="16"/>
              </w:rPr>
            </w:r>
          </w:p>
        </w:tc>
        <w:tc>
          <w:tcPr>
            <w:tcW w:w="212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bl>
    <w:p>
      <w:pPr>
        <w:pStyle w:val="Normal"/>
        <w:rPr>
          <w:sz w:val="16"/>
        </w:rPr>
      </w:pPr>
      <w:r>
        <w:rPr>
          <w:sz w:val="16"/>
        </w:rPr>
      </w:r>
      <w:r>
        <w:br w:type="page"/>
      </w:r>
    </w:p>
    <w:p>
      <w:pPr>
        <w:pStyle w:val="ItalicParagraphCentered"/>
        <w:rPr/>
      </w:pPr>
      <w:r>
        <w:rPr/>
        <w:t>Contact Information</w:t>
      </w:r>
    </w:p>
    <w:p>
      <w:pPr>
        <w:pStyle w:val="BoldParagraphCentered"/>
        <w:rPr/>
      </w:pPr>
      <w:r>
        <w:rPr/>
        <w:t>The E-Impact</w:t>
      </w:r>
    </w:p>
    <w:p>
      <w:pPr>
        <w:pStyle w:val="CenteredNormal"/>
        <w:rPr/>
      </w:pPr>
      <w:r>
        <w:rPr/>
        <w:t>Tuesday 27 February 12.30 - 13.30</w:t>
      </w:r>
    </w:p>
    <w:p>
      <w:pPr>
        <w:pStyle w:val="CenteredNormal"/>
        <w:rPr/>
      </w:pPr>
      <w:r>
        <w:rPr/>
        <w:t>,</w:t>
      </w:r>
    </w:p>
    <w:p>
      <w:pPr>
        <w:pStyle w:val="Normal"/>
        <w:rPr>
          <w:b/>
        </w:rPr>
      </w:pPr>
      <w:r>
        <w:rPr>
          <w:b/>
        </w:rPr>
        <w:t xml:space="preserve">Félix García Viejobueno ** </w:t>
      </w:r>
    </w:p>
    <w:p>
      <w:pPr>
        <w:pStyle w:val="Normal"/>
        <w:rPr/>
      </w:pPr>
      <w:r>
        <w:rPr/>
        <w:t>Vice-President, International Sales and E-Commerce, Iberia, Spain</w:t>
      </w:r>
    </w:p>
    <w:p>
      <w:pPr>
        <w:pStyle w:val="Normal"/>
        <w:rPr/>
      </w:pPr>
      <w:r>
        <w:rPr/>
        <w:t xml:space="preserve">Phone: </w:t>
        <w:tab/>
        <w:t>34 91/587 7094</w:t>
      </w:r>
    </w:p>
    <w:p>
      <w:pPr>
        <w:pStyle w:val="Normal"/>
        <w:rPr/>
      </w:pPr>
      <w:r>
        <w:rPr/>
        <w:t xml:space="preserve">Fax: </w:t>
        <w:tab/>
        <w:t>34 91/587 7163</w:t>
      </w:r>
    </w:p>
    <w:p>
      <w:pPr>
        <w:pStyle w:val="Normal"/>
        <w:rPr/>
      </w:pPr>
      <w:r>
        <w:rPr/>
        <w:t xml:space="preserve">E-mail: </w:t>
        <w:tab/>
        <w:t>fgarcia@iberia.es</w:t>
      </w:r>
    </w:p>
    <w:p>
      <w:pPr>
        <w:pStyle w:val="Normal"/>
        <w:rPr/>
      </w:pPr>
      <w:r>
        <w:rPr/>
      </w:r>
    </w:p>
    <w:p>
      <w:pPr>
        <w:pStyle w:val="Normal"/>
        <w:rPr>
          <w:b/>
        </w:rPr>
      </w:pPr>
      <w:r>
        <w:rPr>
          <w:b/>
        </w:rPr>
        <w:t xml:space="preserve">Timothy M. Kingston ** </w:t>
      </w:r>
    </w:p>
    <w:p>
      <w:pPr>
        <w:pStyle w:val="Normal"/>
        <w:rPr/>
      </w:pPr>
      <w:r>
        <w:rPr/>
        <w:t>Managing Director, Investment Banking, Latin America, Goldman Sachs, USA</w:t>
      </w:r>
    </w:p>
    <w:p>
      <w:pPr>
        <w:pStyle w:val="Normal"/>
        <w:rPr/>
      </w:pPr>
      <w:r>
        <w:rPr/>
        <w:t xml:space="preserve">Phone: </w:t>
        <w:tab/>
        <w:t>1 212/902 3755</w:t>
      </w:r>
    </w:p>
    <w:p>
      <w:pPr>
        <w:pStyle w:val="Normal"/>
        <w:rPr/>
      </w:pPr>
      <w:r>
        <w:rPr/>
        <w:t xml:space="preserve">Fax: </w:t>
        <w:tab/>
        <w:t>1 212/357 1500</w:t>
      </w:r>
    </w:p>
    <w:p>
      <w:pPr>
        <w:pStyle w:val="Normal"/>
        <w:rPr/>
      </w:pPr>
      <w:r>
        <w:rPr/>
        <w:t xml:space="preserve">E-mail: </w:t>
        <w:tab/>
        <w:t>tim.kingston@gs.com</w:t>
      </w:r>
    </w:p>
    <w:p>
      <w:pPr>
        <w:pStyle w:val="Normal"/>
        <w:rPr/>
      </w:pPr>
      <w:r>
        <w:rPr/>
      </w:r>
    </w:p>
    <w:p>
      <w:pPr>
        <w:pStyle w:val="Normal"/>
        <w:rPr>
          <w:b/>
        </w:rPr>
      </w:pPr>
      <w:r>
        <w:rPr>
          <w:b/>
        </w:rPr>
        <w:t xml:space="preserve">Kenneth L. Lay ** </w:t>
      </w:r>
    </w:p>
    <w:p>
      <w:pPr>
        <w:pStyle w:val="Normal"/>
        <w:rPr/>
      </w:pPr>
      <w:r>
        <w:rPr/>
        <w:t>Chairman and Chief Executive Officer, Enron, USA</w:t>
      </w:r>
    </w:p>
    <w:p>
      <w:pPr>
        <w:pStyle w:val="Normal"/>
        <w:rPr/>
      </w:pPr>
      <w:r>
        <w:rPr/>
        <w:t xml:space="preserve">Phone: </w:t>
        <w:tab/>
        <w:t>1 713/853 6773</w:t>
      </w:r>
    </w:p>
    <w:p>
      <w:pPr>
        <w:pStyle w:val="Normal"/>
        <w:rPr/>
      </w:pPr>
      <w:r>
        <w:rPr/>
        <w:t xml:space="preserve">Fax: </w:t>
        <w:tab/>
        <w:t>1 713/853 9479</w:t>
      </w:r>
    </w:p>
    <w:p>
      <w:pPr>
        <w:pStyle w:val="Normal"/>
        <w:rPr/>
      </w:pPr>
      <w:r>
        <w:rPr/>
        <w:t xml:space="preserve">E-mail: </w:t>
        <w:tab/>
        <w:t>klay@enron.com</w:t>
      </w:r>
    </w:p>
    <w:p>
      <w:pPr>
        <w:pStyle w:val="Normal"/>
        <w:rPr/>
      </w:pPr>
      <w:r>
        <w:rPr/>
      </w:r>
    </w:p>
    <w:p>
      <w:pPr>
        <w:pStyle w:val="Normal"/>
        <w:rPr>
          <w:b/>
        </w:rPr>
      </w:pPr>
      <w:r>
        <w:rPr>
          <w:b/>
        </w:rPr>
        <w:t xml:space="preserve">Thomas B. McGrath ** </w:t>
      </w:r>
    </w:p>
    <w:p>
      <w:pPr>
        <w:pStyle w:val="Normal"/>
        <w:rPr/>
      </w:pPr>
      <w:r>
        <w:rPr/>
        <w:t>Executive Vice-President, Viacom Entertainment Group, USA</w:t>
      </w:r>
    </w:p>
    <w:p>
      <w:pPr>
        <w:pStyle w:val="Normal"/>
        <w:rPr/>
      </w:pPr>
      <w:r>
        <w:rPr/>
        <w:t xml:space="preserve">Phone: </w:t>
        <w:tab/>
        <w:t>1 323/956 5045</w:t>
      </w:r>
    </w:p>
    <w:p>
      <w:pPr>
        <w:pStyle w:val="Normal"/>
        <w:rPr/>
      </w:pPr>
      <w:r>
        <w:rPr/>
        <w:t xml:space="preserve">Fax: </w:t>
        <w:tab/>
        <w:t>1 323/862 0836</w:t>
      </w:r>
    </w:p>
    <w:p>
      <w:pPr>
        <w:pStyle w:val="Normal"/>
        <w:rPr/>
      </w:pPr>
      <w:r>
        <w:rPr/>
        <w:t xml:space="preserve">E-mail: </w:t>
        <w:tab/>
        <w:t>tom_mcgrath@paramount.com</w:t>
      </w:r>
    </w:p>
    <w:p>
      <w:pPr>
        <w:pStyle w:val="Normal"/>
        <w:rPr/>
      </w:pPr>
      <w:r>
        <w:rPr/>
      </w:r>
    </w:p>
    <w:p>
      <w:pPr>
        <w:pStyle w:val="Normal"/>
        <w:rPr>
          <w:b/>
        </w:rPr>
      </w:pPr>
      <w:r>
        <w:rPr>
          <w:b/>
        </w:rPr>
        <w:t xml:space="preserve">Raúl Mendez ** </w:t>
      </w:r>
    </w:p>
    <w:p>
      <w:pPr>
        <w:pStyle w:val="Normal"/>
        <w:rPr/>
      </w:pPr>
      <w:r>
        <w:rPr/>
        <w:t>Director-General, Booz, Allen &amp; Hamilton, Mexico</w:t>
      </w:r>
    </w:p>
    <w:p>
      <w:pPr>
        <w:pStyle w:val="Normal"/>
        <w:rPr/>
      </w:pPr>
      <w:r>
        <w:rPr/>
        <w:t xml:space="preserve">Phone: </w:t>
        <w:tab/>
        <w:t>52 5/230 6939/6900</w:t>
      </w:r>
    </w:p>
    <w:p>
      <w:pPr>
        <w:pStyle w:val="Normal"/>
        <w:rPr/>
      </w:pPr>
      <w:r>
        <w:rPr/>
        <w:t xml:space="preserve">Fax: </w:t>
        <w:tab/>
        <w:t>52 5/202 2106</w:t>
      </w:r>
    </w:p>
    <w:p>
      <w:pPr>
        <w:pStyle w:val="Normal"/>
        <w:rPr/>
      </w:pPr>
      <w:r>
        <w:rPr/>
        <w:t xml:space="preserve">E-mail: </w:t>
        <w:tab/>
        <w:t>mendez_raul@bah.com</w:t>
      </w:r>
    </w:p>
    <w:p>
      <w:pPr>
        <w:pStyle w:val="Normal"/>
        <w:rPr/>
      </w:pPr>
      <w:r>
        <w:rPr/>
      </w:r>
    </w:p>
    <w:p>
      <w:pPr>
        <w:pStyle w:val="Normal"/>
        <w:rPr/>
      </w:pPr>
      <w:r>
        <w:rPr/>
      </w:r>
    </w:p>
    <w:sectPr>
      <w:headerReference w:type="default" r:id="rId2"/>
      <w:footerReference w:type="default" r:id="rId3"/>
      <w:type w:val="nextPage"/>
      <w:pgSz w:w="11906" w:h="16838"/>
      <w:pgMar w:left="1417" w:right="1134" w:gutter="0" w:header="850" w:top="1440" w:footer="283" w:bottom="33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1120" cy="146050"/>
              <wp:effectExtent l="0" t="0" r="0" b="0"/>
              <wp:wrapSquare wrapText="bothSides"/>
              <wp:docPr id="2" name="Frame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462.1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330950" cy="1232535"/>
          <wp:effectExtent l="0" t="0" r="0" b="0"/>
          <wp:docPr id="1" name="wef_logo_bleu_ENTET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f_logo_bleu_ENTETE" descr="" title=""/>
                  <pic:cNvPicPr>
                    <a:picLocks noChangeAspect="1" noChangeArrowheads="1"/>
                  </pic:cNvPicPr>
                </pic:nvPicPr>
                <pic:blipFill>
                  <a:blip r:embed="rId1"/>
                  <a:srcRect l="-6" t="-29" r="-6" b="-29"/>
                  <a:stretch>
                    <a:fillRect/>
                  </a:stretch>
                </pic:blipFill>
                <pic:spPr bwMode="auto">
                  <a:xfrm>
                    <a:off x="0" y="0"/>
                    <a:ext cx="6330950" cy="123253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2160"/>
        </w:tabs>
        <w:ind w:start="1800" w:hanging="0"/>
      </w:pPr>
      <w:rPr>
        <w:rFonts w:ascii="Symbol" w:hAnsi="Symbol" w:cs="Symbol" w:hint="default"/>
      </w:rPr>
    </w:lvl>
  </w:abstractNum>
  <w:abstractNum w:abstractNumId="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St5z0">
    <w:name w:val="WW8NumSt5z0"/>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ldParagraphCentered">
    <w:name w:val="BoldParagraphCentered"/>
    <w:basedOn w:val="Normal"/>
    <w:qFormat/>
    <w:pPr>
      <w:tabs>
        <w:tab w:val="clear" w:pos="720"/>
        <w:tab w:val="left" w:pos="2268" w:leader="none"/>
      </w:tabs>
      <w:spacing w:before="0" w:after="40"/>
      <w:jc w:val="center"/>
    </w:pPr>
    <w:rPr>
      <w:b/>
      <w:sz w:val="22"/>
      <w:lang w:val="fr-FR"/>
    </w:rPr>
  </w:style>
  <w:style w:type="paragraph" w:styleId="Duration">
    <w:name w:val="Duration"/>
    <w:basedOn w:val="Normal"/>
    <w:qFormat/>
    <w:pPr>
      <w:tabs>
        <w:tab w:val="clear" w:pos="720"/>
        <w:tab w:val="left" w:pos="2268" w:leader="none"/>
      </w:tabs>
      <w:spacing w:before="240" w:after="120"/>
    </w:pPr>
    <w:rPr>
      <w:b/>
      <w:sz w:val="24"/>
      <w:lang w:val="fr-FR"/>
    </w:rPr>
  </w:style>
  <w:style w:type="paragraph" w:styleId="Participants">
    <w:name w:val="Participants"/>
    <w:basedOn w:val="Normal"/>
    <w:qFormat/>
    <w:pPr>
      <w:tabs>
        <w:tab w:val="clear" w:pos="720"/>
        <w:tab w:val="left" w:pos="2268" w:leader="none"/>
      </w:tabs>
      <w:ind w:hanging="0" w:start="2268" w:end="0"/>
    </w:pPr>
    <w:rPr>
      <w:sz w:val="22"/>
      <w:lang w:val="fr-FR"/>
    </w:rPr>
  </w:style>
  <w:style w:type="paragraph" w:styleId="ShortResume">
    <w:name w:val="ShortResume"/>
    <w:basedOn w:val="Normal"/>
    <w:qFormat/>
    <w:pPr>
      <w:tabs>
        <w:tab w:val="clear" w:pos="720"/>
        <w:tab w:val="left" w:pos="2268" w:leader="none"/>
      </w:tabs>
      <w:spacing w:before="0" w:after="60"/>
    </w:pPr>
    <w:rPr>
      <w:b/>
      <w:sz w:val="22"/>
      <w:lang w:val="fr-FR"/>
    </w:rPr>
  </w:style>
  <w:style w:type="paragraph" w:styleId="StartDate">
    <w:name w:val="StartDate"/>
    <w:basedOn w:val="Normal"/>
    <w:qFormat/>
    <w:pPr>
      <w:tabs>
        <w:tab w:val="clear" w:pos="720"/>
        <w:tab w:val="left" w:pos="2268" w:leader="none"/>
      </w:tabs>
      <w:spacing w:before="120" w:after="120"/>
    </w:pPr>
    <w:rPr>
      <w:b/>
      <w:sz w:val="28"/>
      <w:lang w:val="fr-FR"/>
    </w:rPr>
  </w:style>
  <w:style w:type="paragraph" w:styleId="SubName">
    <w:name w:val="SubName"/>
    <w:basedOn w:val="Normal"/>
    <w:qFormat/>
    <w:pPr>
      <w:tabs>
        <w:tab w:val="clear" w:pos="720"/>
        <w:tab w:val="left" w:pos="2268" w:leader="none"/>
      </w:tabs>
      <w:spacing w:before="240" w:after="120"/>
      <w:ind w:hanging="0" w:start="288" w:end="0"/>
    </w:pPr>
    <w:rPr>
      <w:i/>
      <w:lang w:val="fr-FR"/>
    </w:rPr>
  </w:style>
  <w:style w:type="paragraph" w:styleId="Normalbul">
    <w:name w:val="Normal bul"/>
    <w:basedOn w:val="Normal"/>
    <w:qFormat/>
    <w:pPr>
      <w:numPr>
        <w:ilvl w:val="0"/>
        <w:numId w:val="3"/>
      </w:numPr>
      <w:tabs>
        <w:tab w:val="clear" w:pos="720"/>
        <w:tab w:val="left" w:pos="2268" w:leader="none"/>
      </w:tabs>
      <w:ind w:hanging="283" w:start="0" w:end="0"/>
    </w:pPr>
    <w:rPr>
      <w:sz w:val="22"/>
      <w:lang w:val="fr-FR"/>
    </w:rPr>
  </w:style>
  <w:style w:type="paragraph" w:styleId="Moderator">
    <w:name w:val="Moderator"/>
    <w:basedOn w:val="Normal"/>
    <w:qFormat/>
    <w:pPr>
      <w:tabs>
        <w:tab w:val="clear" w:pos="720"/>
        <w:tab w:val="left" w:pos="2268" w:leader="none"/>
      </w:tabs>
    </w:pPr>
    <w:rPr>
      <w:b/>
      <w:u w:val="single"/>
      <w:lang w:val="fr-FR"/>
    </w:rPr>
  </w:style>
  <w:style w:type="paragraph" w:styleId="ItalicParagraphCentered">
    <w:name w:val="ItalicParagraphCentered"/>
    <w:basedOn w:val="Normal"/>
    <w:qFormat/>
    <w:pPr>
      <w:jc w:val="center"/>
    </w:pPr>
    <w:rPr>
      <w:i/>
      <w:sz w:val="22"/>
    </w:rPr>
  </w:style>
  <w:style w:type="paragraph" w:styleId="CenteredNormal">
    <w:name w:val="CenteredNormal"/>
    <w:basedOn w:val="Normal"/>
    <w:qFormat/>
    <w:pPr>
      <w:jc w:val="center"/>
    </w:pPr>
    <w:rPr>
      <w:sz w:val="22"/>
    </w:rPr>
  </w:style>
  <w:style w:type="paragraph" w:styleId="CenteredBoldItalic">
    <w:name w:val="CenteredBoldItalic"/>
    <w:basedOn w:val="Normal"/>
    <w:qFormat/>
    <w:pPr>
      <w:spacing w:before="0" w:after="40"/>
      <w:jc w:val="center"/>
    </w:pPr>
    <w:rPr>
      <w:b/>
      <w:i/>
      <w:sz w:val="22"/>
    </w:rPr>
  </w:style>
  <w:style w:type="paragraph" w:styleId="BoldParagraphLeft">
    <w:name w:val="BoldParagraphLeft"/>
    <w:basedOn w:val="Normal"/>
    <w:qFormat/>
    <w:pPr>
      <w:tabs>
        <w:tab w:val="clear" w:pos="720"/>
        <w:tab w:val="left" w:pos="2835" w:leader="none"/>
      </w:tabs>
      <w:spacing w:before="0" w:after="40"/>
      <w:ind w:hanging="2835" w:start="2835" w:end="0"/>
    </w:pPr>
    <w:rPr>
      <w:b/>
      <w:sz w:val="22"/>
    </w:rPr>
  </w:style>
  <w:style w:type="paragraph" w:styleId="BulletCentered">
    <w:name w:val="BulletCentered"/>
    <w:basedOn w:val="Normal"/>
    <w:qFormat/>
    <w:pPr>
      <w:numPr>
        <w:ilvl w:val="0"/>
        <w:numId w:val="2"/>
      </w:numPr>
    </w:pPr>
    <w:rPr/>
  </w:style>
  <w:style w:type="paragraph" w:styleId="DurationSummary">
    <w:name w:val="DurationSummary"/>
    <w:basedOn w:val="Normal"/>
    <w:qFormat/>
    <w:pPr>
      <w:spacing w:before="60" w:after="0"/>
      <w:ind w:hanging="0" w:start="300" w:end="0"/>
    </w:pPr>
    <w:rPr>
      <w:lang w:val="fr-FR"/>
    </w:rPr>
  </w:style>
  <w:style w:type="paragraph" w:styleId="StartDateSummary">
    <w:name w:val="StartDateSummary"/>
    <w:basedOn w:val="Normal"/>
    <w:qFormat/>
    <w:pPr/>
    <w:rPr>
      <w:b/>
    </w:rPr>
  </w:style>
  <w:style w:type="paragraph" w:styleId="TopicSummary">
    <w:name w:val="TopicSummary"/>
    <w:basedOn w:val="Normal"/>
    <w:qFormat/>
    <w:pPr>
      <w:ind w:hanging="0" w:start="1800" w:end="0"/>
    </w:pPr>
    <w:rPr>
      <w:b/>
    </w:rPr>
  </w:style>
  <w:style w:type="paragraph" w:styleId="BorderBoldLeft">
    <w:name w:val="BorderBoldLeft"/>
    <w:basedOn w:val="Normal"/>
    <w:qFormat/>
    <w:pPr>
      <w:pBdr>
        <w:top w:val="single" w:sz="4" w:space="1" w:color="000000"/>
      </w:pBdr>
    </w:pPr>
    <w:rPr>
      <w:b/>
    </w:rPr>
  </w:style>
  <w:style w:type="paragraph" w:styleId="TopLine">
    <w:name w:val="TopLine"/>
    <w:basedOn w:val="Normal"/>
    <w:next w:val="Normal"/>
    <w:qFormat/>
    <w:pPr>
      <w:pBdr>
        <w:top w:val="single" w:sz="4" w:space="1" w:color="000000"/>
      </w:pBdr>
    </w:pPr>
    <w:rPr/>
  </w:style>
  <w:style w:type="paragraph" w:styleId="RMStartDate">
    <w:name w:val="RMStartDate"/>
    <w:basedOn w:val="Normal"/>
    <w:qFormat/>
    <w:pPr>
      <w:pBdr>
        <w:top w:val="single" w:sz="4" w:space="12" w:color="000000"/>
        <w:bottom w:val="single" w:sz="4" w:space="12" w:color="000000"/>
      </w:pBdr>
    </w:pPr>
    <w:rPr/>
  </w:style>
  <w:style w:type="paragraph" w:styleId="RoomSummary">
    <w:name w:val="RoomSummary"/>
    <w:basedOn w:val="Normal"/>
    <w:qFormat/>
    <w:pPr>
      <w:ind w:hanging="0" w:start="300" w:end="0"/>
    </w:pPr>
    <w:rPr>
      <w:i/>
    </w:rPr>
  </w:style>
  <w:style w:type="paragraph" w:styleId="AgdHeader1">
    <w:name w:val="AgdHeader1"/>
    <w:basedOn w:val="BoldParagraphCentered"/>
    <w:qFormat/>
    <w:pPr>
      <w:spacing w:before="0" w:after="40"/>
      <w:jc w:val="start"/>
    </w:pPr>
    <w:rPr>
      <w:caps/>
      <w:sz w:val="22"/>
    </w:rPr>
  </w:style>
  <w:style w:type="paragraph" w:styleId="SesStrucHead1">
    <w:name w:val="SesStrucHead1"/>
    <w:basedOn w:val="AgdHeader1"/>
    <w:qFormat/>
    <w:pPr>
      <w:jc w:val="start"/>
    </w:pPr>
    <w:rPr/>
  </w:style>
  <w:style w:type="paragraph" w:styleId="SesStrucHead2">
    <w:name w:val="SesStrucHead2"/>
    <w:basedOn w:val="Normal"/>
    <w:qFormat/>
    <w:pPr>
      <w:spacing w:before="0" w:after="40"/>
    </w:pPr>
    <w:rPr>
      <w:b/>
      <w:sz w:val="22"/>
    </w:rPr>
  </w:style>
  <w:style w:type="paragraph" w:styleId="SesStrucHead3">
    <w:name w:val="SesStrucHead3"/>
    <w:basedOn w:val="Normal"/>
    <w:qFormat/>
    <w:pPr>
      <w:spacing w:before="0" w:after="40"/>
    </w:pPr>
    <w:rPr>
      <w:sz w:val="22"/>
    </w:rPr>
  </w:style>
  <w:style w:type="paragraph" w:styleId="SesStrucHead4">
    <w:name w:val="SesStrucHead4"/>
    <w:basedOn w:val="Normal"/>
    <w:qFormat/>
    <w:pPr>
      <w:spacing w:before="0" w:after="40"/>
    </w:pPr>
    <w:rPr>
      <w:i/>
      <w:sz w:val="22"/>
    </w:rPr>
  </w:style>
  <w:style w:type="paragraph" w:styleId="ItalicParagraphLeft">
    <w:name w:val="ItalicParagraphLeft"/>
    <w:basedOn w:val="Normal"/>
    <w:qFormat/>
    <w:pPr/>
    <w:rPr>
      <w:i/>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ListBullet">
    <w:name w:val="List Bullet"/>
    <w:basedOn w:val="Normal"/>
    <w:qFormat/>
    <w:pPr>
      <w:numPr>
        <w:ilvl w:val="0"/>
        <w:numId w:val="1"/>
      </w:numP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F21ReportSession.dot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2001-01-23T07:39:00Z</dcterms:created>
  <dc:creator>World Economic Forum</dc:creator>
  <dc:description/>
  <dc:language>en-CA</dc:language>
  <cp:lastModifiedBy>World Economic Forum</cp:lastModifiedBy>
  <dcterms:modified xsi:type="dcterms:W3CDTF">2001-01-23T07:50:00Z</dcterms:modified>
  <cp:revision>5</cp:revision>
  <dc:subject/>
  <dc:title>SESSION STRUCTURE</dc:title>
</cp:coreProperties>
</file>