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rPr>
        <w:t>TERMS AND CONDITIONS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TO</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SUBCONTRACT BETWEEN ___________ ("CONTRACTOR")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AND ________________ ("SUBCONTRACTOR")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b/>
          <w:bCs/>
        </w:rPr>
        <w:fldChar w:fldCharType="begin"/>
      </w:r>
      <w:r>
        <w:rPr>
          <w:b/>
          <w:bCs/>
        </w:rPr>
        <w:instrText xml:space="preserve"> SEQ ParaNumbers2_0 \* ARABIC </w:instrText>
      </w:r>
      <w:r>
        <w:rPr>
          <w:b/>
          <w:bCs/>
        </w:rPr>
        <w:fldChar w:fldCharType="separate"/>
      </w:r>
      <w:r>
        <w:rPr>
          <w:b/>
          <w:bCs/>
        </w:rPr>
        <w:t>1</w:t>
      </w:r>
      <w:r>
        <w:rPr>
          <w:b/>
          <w:bCs/>
        </w:rPr>
        <w:fldChar w:fldCharType="end"/>
      </w:r>
      <w:r>
        <w:rPr>
          <w:b/>
          <w:bCs/>
        </w:rPr>
        <w:t>.</w:t>
        <w:tab/>
        <w:t>PRINCIPAL WARRANTIES OF SUBCONTRACTOR: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Subcontractor represents that prior to undertaking to performing its Services under this Agreement it will ascertain the nature and scope of the Work, the type and magnitude of resources required to complete its assignments, and other matters which could affect its Services, Subcontractor's failure to become knowledgeable about or to discover matters which affect its Services shall not relieve Subcontractor from its obligations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Subcontractor represents and warrants that it has the experience and capability to perform its Services in accordance with sound and generally accepted software design and development practices.  Subcontractor agrees and warrants that it shall provide its Services promptly upon request of Contractor, that it shall perform his Services with diligence, and that its Services shall be performed in a good and workmanlike manner.  Subcontractor assumes sole responsibility to assure that its Services are performed in accordance with any and all prudent and applicable safety standards.  Subcontractor shall comply with rules and regulations which either Company or Contractor establishes for the use and occupancy of its premises.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Notwithstanding anything to the contrary in this Agreement, Subcontractor represents and warrants that any and all software, hardware, products, systems or other deliverables to be provided by Subcontractor to Contractor for the benefit of Company shall meet millennium certification standards which require that any such software, hardware, products, systems or other deliverables shall operate and perform accurately in the manner in which it was intended with regard to date</w:t>
        <w:noBreakHyphen/>
        <w:t>related operations when given a valid date containing century, year, month, and day.  For purposes of this representation and warranty by Subcontractor, the accurate operation of the software, hardware, products and other deliverables requires that the following occur consistently, automatically, and without human intervention or additional programming: (1) calculations using dates execute using a four digit year; (2) all functions, including but not limited to entry, inquiry, maintenance, storage, update, and transmission of information, support four</w:t>
        <w:noBreakHyphen/>
        <w:t>digit year processing; (3) interfaces and reports support four</w:t>
        <w:noBreakHyphen/>
        <w:t>digit year processing; (4) successful translation into year 2000 executes with the correct system date (</w:t>
      </w:r>
      <w:r>
        <w:rPr>
          <w:i/>
          <w:iCs/>
        </w:rPr>
        <w:t>e.g.</w:t>
      </w:r>
      <w:r>
        <w:rPr/>
        <w:t>, 1/1/2000), including leap years; (5) processing uses a four</w:t>
        <w:noBreakHyphen/>
        <w:t>digit year after transition to and beyond the year 2000; and (6) correct results are generated in forward and backward date calculations spanning century boundaries, including leap years.</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SEQ ParaNumbers2_0 \* ARABIC </w:instrText>
      </w:r>
      <w:r>
        <w:rPr/>
        <w:fldChar w:fldCharType="separate"/>
      </w:r>
      <w:r>
        <w:rPr/>
        <w:t>1</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t>Subcontractor represents and warrants that it is under no obligation to any former client and/or employer which is in any way inconsistent with the provisions of this Agreement or which imposes any restriction on the activities of Subcontractor in the performance of its Services hereunder.</w:t>
        <w:b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SEQ ParaNumbers2_0 \* ARABIC </w:instrText>
      </w:r>
      <w:r>
        <w:rPr/>
        <w:fldChar w:fldCharType="separate"/>
      </w:r>
      <w:r>
        <w:rPr/>
        <w:t>2</w:t>
      </w:r>
      <w:r>
        <w:rPr/>
        <w:fldChar w:fldCharType="end"/>
      </w:r>
      <w:r>
        <w:rPr/>
        <w:t>.</w:t>
        <w:tab/>
      </w:r>
      <w:r>
        <w:rPr>
          <w:b/>
          <w:bCs/>
        </w:rPr>
        <w:t>TERM AND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2</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This Agreement continue in full force and effect until terminated under the terms hereof.  This Agreement shall automatically terminate if the </w:t>
      </w:r>
      <w:r>
        <w:rPr>
          <w:b/>
          <w:bCs/>
          <w:i/>
          <w:iCs/>
        </w:rPr>
        <w:t>Agreement for Project Services</w:t>
      </w:r>
      <w:r>
        <w:rPr/>
        <w:t xml:space="preserve"> terminates between Company and Contractor.  Additionally, either Company or Contractor may terminate this Agreement at any time for any reason whatsoever, with or without cause, by furnishing Subcontractor five (5) days' advance written notice of such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SEQ ParaNumbers2_0 \* ARABIC </w:instrText>
      </w:r>
      <w:r>
        <w:rPr/>
        <w:fldChar w:fldCharType="separate"/>
      </w:r>
      <w:r>
        <w:rPr/>
        <w:t>3</w:t>
      </w:r>
      <w:r>
        <w:rPr/>
        <w:fldChar w:fldCharType="end"/>
      </w:r>
      <w:r>
        <w:rPr/>
        <w:t>.</w:t>
        <w:tab/>
      </w:r>
      <w:r>
        <w:rPr>
          <w:b/>
          <w:bCs/>
        </w:rPr>
        <w:t>INTELLECTUAL PROPERTY RIGHTS: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All information, data, documents and materials provided by Company or Contractor to Subcontractor, or acquired or learned by Subcontractor from Company or Contractor's files, documents or employees or representatives, in connection with the Work, shall remain the sole and exclusive property of Company or Contractor, as the case may be.  Subcontractor shall obtain no rights whatsoever, whether under applicable patent, copyright, trade secret laws or otherwise, in such information, data, documents and materials unless specifically provided in writing by Company or Contractor, as the case may be.  Irrespective of whether the information, data, documents and materials is subject to the obligations of confidence imposed by Paragraph 3.2, Subcontractor shall make no copies, summaries or extracts thereof except as specifically authorized in writing by Company or Contractor, as the case may be, and Subcontractor shall make no use of such information, data, documents and materials except as specifically authorized in writing by Company or Contractor,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All of such information, data, documents and materials shall be maintained by Subcontractor in absolute confidence.  Subcontractor shall not disclose such information, data, documents and materials to third parties and shall not even disclose to its own employees except as necessary to perform Subcontractor's obligations for Contractor under this Agreement.  Subcontractor shall similarly obligate any and all others, to whom such information, data, documents and materials data and information are necessarily disclosed, to maintain such information, data, documents and materials in absolute confidence.  Subcontractor shall have no obligation of confidence with respect to any portions thereof which (i) were previously known to Subcontractor in the absence of a prior obligation to Subcontractor, (ii) are in the public domain, (iii) hereafter become part of the public domain through no fault of Subcontractor, or (iv) are later obtained by Subcontractor from others who owe no obligation of confidence to Company or Contractor with respect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
          <w:footerReference w:type="default" r:id="rId3"/>
          <w:type w:val="nextPage"/>
          <w:pgSz w:w="12240" w:h="15840"/>
          <w:pgMar w:left="1440" w:right="1440" w:gutter="0" w:header="720" w:top="776" w:footer="432" w:bottom="488"/>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Irrespective of whether the information, data, documents and materials is subject to the obligations of confidence imposed by Paragraph 3.2, upon completion of its Services, or upon termination of this Agreement, Subcontractor shall immediately return to Company or Contractor all such information, data, documents and materials, as well as any and all copies, summaries or extracts thereof.  Subcontractor shall also immediately return to Company or Contractor all such information, data, documents and materials, as well as any and all copies, summaries or extracts thereof, whenever requested by Company or 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t>Subcontractor shall not disclose or provide to Company or Contractor any information, ideas, concepts, improvements, discoveries, inventions, or forms of expression of ideas which Subcontractor does not own or otherwise have the right to disclose or provide to Company or Contractor.  Subcontractor represents and warrants that all information, ideas, concepts, improvements, discoveries, inventions, or forms of expression of ideas disclosed or provided to Company or Contractor shall be free from third party claims of ownership and that Company's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5</w:t>
      </w:r>
      <w:r>
        <w:rPr/>
        <w:fldChar w:fldCharType="end"/>
      </w:r>
      <w:r>
        <w:rPr/>
        <w:t>.</w:t>
        <w:tab/>
        <w:t>Subcontractor represents and warrants that all processes or methods utilized by Subcontractor to provide its services to Contractor for the benefit of Company are free from infringement of third party intellectual property rights (whether it be claims of improper use of confidential information, patent infringement, copyright infringement, or the like) and that all products provided by Subcontractor to Contractor for the benefit of Company are free from third party claims of infringement of intellectual property rights, including allegations that the product infringes the claims of the United States process patent in violation of the Process Patents Amendment Act of 1988.  Subcontractor shall cooperate fully and promptly with Company and Contractor with respect to any notice of infringement or request for disclosure or response to a request for disclosure generated or received by Company or Contractor in connection with Subcontractor's Work pursuant to the Process Patents Amendment Act of 1988.  To the extent that Subcontractor obtains products from third parties which it intends to provide to Company or Contractor, Subcontractor shall obtain agreements from its vendors to cooperate in connection with requests for disclosure generated or received by Company or Contractor pursuant to the Process Patents Amendment Act of 1988.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6</w:t>
      </w:r>
      <w:r>
        <w:rPr/>
        <w:fldChar w:fldCharType="end"/>
      </w:r>
      <w:r>
        <w:rPr/>
        <w:t>.</w:t>
        <w:tab/>
        <w:t>Subcontractor shall defend, indemnify and hold Company and Contractor harmless from and against all claims, demands and causes of action brought by third parties (and all costs, expenses, damages, liabilities or judgments sustained or incurred by Company or Contractor in connection therewith, including the costs of investigation and reasonable attorneys fees) alleging or establishing (i) that the third party owns information, ideas, concepts, improvements, discoveries, inventions, or forms of expression of ideas described or provided by Subcontractor to Contractor or Company, or (ii) that Company's worldwide right to own, use, make, have made, license, sell or otherwise market information, ideas, concepts, improvements, discoveries, inventions, or forms of expression of ideas disclosed or provided by Subcontractor to Contractor for the benefit of Company infringe the third party's intellectual property rights therein, or (iii) that the processes utilized by Subcontractor in providing its services to Contractor for the benefit of Company infringe third party intellectual property rights or that the products provided by Subcontractor to Contractor for the benefit of Company infringe third party intellectual property rights (including a violation of the Process Patents Amendment Act of 1988).  This contractual obligation of indemnification shall apply even if the third party alleges or establishes that Company and/or Contractor was partially negligent or otherwise at fault (e.g., that Company and/or Contractor was negligent in retaining Subcontractor's services and accepting information, ideas, concepts, improvements, discoveries, inventions, or forms of expression of ideas from Subcontractor, or that Company and/or Contractor was negligent in failing to ascertain whether the information, ideas, concepts, improvements, discoveries, inventions, or forms of expression of ideas infringed the rights of third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7</w:t>
      </w:r>
      <w:r>
        <w:rPr/>
        <w:fldChar w:fldCharType="end"/>
      </w:r>
      <w:r>
        <w:rPr/>
        <w:t>.</w:t>
        <w:tab/>
        <w:t>Subcontractor shall promptly disclose in writing to Contractor for the benefit of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by Subcontractor, either individually or jointly with others, in connection with the Work.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8</w:t>
      </w:r>
      <w:r>
        <w:rPr/>
        <w:fldChar w:fldCharType="end"/>
      </w:r>
      <w:r>
        <w:rPr/>
        <w:t>.</w:t>
        <w:tab/>
        <w:t>All such information, ideas, concepts, improvements, discoveries and inventions, as well as all forms of expression of ideas which are the subject matter of copyright, described in Paragraph 3.7 shall be the sole and exclusive property of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In particular, Subcontractor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w:t>
        <w:softHyphen/>
        <w:t>-part, reissues and/or extensions thereof, and applications for registration of such names and marks.  Both during this Agreement and thereafter, Subcontractor shall assist Company and its nominee at all times in the protection of such information, ideas, concepts, improvements, discoveries or inventions, both in the United States and all foreign  countries,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Additionally, if Subcontractor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its Services, whether the work of authorship is created solely by Subcontractor or jointly with others, Company shall be the owner of the work of authorship and all rights of copyright therein.  Subcontractor hereby agrees to assign, and by these presents, does assign, to Company all of Subcontractor's worldwide right, title and interest in and to such work and all rights of copyright therein.  Both during this Agreement and thereafter, Subcontractor agrees to assist Company and its nominee, at any time, in the protection of Contractor's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9</w:t>
      </w:r>
      <w:r>
        <w:rPr/>
        <w:fldChar w:fldCharType="end"/>
      </w:r>
      <w:r>
        <w:rPr/>
        <w:t>.</w:t>
        <w:tab/>
        <w:t>While all reports and other work product prepared by Subcontractor for Contractor for the benefit of Company in connection with this Agreement shall be and become the property of Company and all originals and copies thereof shall be delivered to Contractor for the benefit of Company, subject to the restrictions of this Agreement, Subcontractor shall have the right to retain one copy of any and all data, reports and other work product for its own files for reference.  The information, data, documents and materials in the possession of Subcontractor which are owned by Company, as well as all products in the possession of Subcontractor which are covered by Company's intellectual property rights, shall bear the appropriate notices specifying Company's rights of ownership.  Specifically, but not by way of limitation, unpublished works which are maintained in confidence by Subcontractor and that embody expressions of ideas which are the subject of copyright shall bear the following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CONFIDENTIAL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This document and the information contained herein are the property of Enron Corp. and are maintained in confidence by Enron Corp.  To the extent this document contains expressions of intellectual concepts covered by the federal Copyright Act, Enron Corp. also maintains its rights under the copyright laws.  This document and the information contained herein may not be used, reproduced, disclosed or distributed without the express permission of Enron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xml:space="preserve">Copyright </w:t>
      </w:r>
      <w:r>
        <w:rPr>
          <w:rFonts w:eastAsia="WP TypographicSymbols;Symbol" w:cs="WP TypographicSymbols;Symbol" w:ascii="WP TypographicSymbols;Symbol" w:hAnsi="WP TypographicSymbols;Symbol"/>
        </w:rPr>
        <w:sym w:font="WP TypographicSymbols;Symbol" w:char="f038"/>
      </w:r>
      <w:r>
        <w:rPr/>
        <w:t xml:space="preserve"> 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In the event Subcontractor receives a notice of infringement, request for disclosure, subpoena or other inquiry with respect to such matters, Subcontractor shall immediately notify Company and Contractor in writing; Subcontractor shall not respond to such notices, requests, subpoenas or inquiries, or disclose Company's or Contractor's information to third parties, without first so notifying Company and Contractor in writing.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fldChar w:fldCharType="begin"/>
      </w:r>
      <w:r>
        <w:rPr/>
        <w:instrText xml:space="preserve"> SEQ ParaNumbers2_0 \* ARABIC </w:instrText>
      </w:r>
      <w:r>
        <w:rPr/>
        <w:fldChar w:fldCharType="separate"/>
      </w:r>
      <w:r>
        <w:rPr/>
        <w:t>4</w:t>
      </w:r>
      <w:r>
        <w:rPr/>
        <w:fldChar w:fldCharType="end"/>
      </w:r>
      <w:r>
        <w:rPr/>
        <w:t>.</w:t>
        <w:tab/>
      </w:r>
      <w:r>
        <w:rPr>
          <w:b/>
          <w:bCs/>
        </w:rP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Subcontractor agrees to perform its Services as an independent contractor.  Subcontractor shall not be the employees or subject to the direction and control of Company or Contractor.  Subcontractor shall determine the manner and method in which its Services are to be performed to attain the results required by this Agreement.  Contractor's general suggestions in connection with the Work, Contractor's general right of inspection, and Contractor's right to terminate this Agreement shall not make Subcontractor an agent and employee of Company or Contractor or give Company or Contractor any right of control over Subcontractor.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Subcontractor assumes full responsibility for and represents, warrants, that it will pay all contributions and taxes payable under federal and state social security acts, workers' compensation laws, unemployment compensation laws and income tax laws as to all of its employees and agents engaged in the performance of his Services hereunder.  Subcontractor shall maintain all persons performing its Services hereunder as employees, and shall file W-2 forms with the Internal Revenue Service for each and every such persons.  Subcontractor agrees to pay any and all valid sales or use taxes levied on supplies, materials and equipment furnished and the Services performed by Subcontractor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This Agreement may not be assigned by Subcontractor without the prior written consent of Contractor.  Subcontractor shall not subcontract out to others any aspects of Subcontractor's Services or retain any independent contractors to perform any aspects its Services without the prior written consent of 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t>The laws of the State of Texas (except for any Texas conflict-of-law principle that might require the application of some other state's laws) will govern the interpretation, validity and effect of this Agreement.  Contractor and Subcontractor agree that the state and federal courts situated in Harris County, Texas shall have personal jurisdiction over Subcontractor to hear all disputes arising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type w:val="continuous"/>
      <w:pgSz w:w="12240" w:h="15840"/>
      <w:pgMar w:left="1440" w:right="1440" w:gutter="0" w:header="720" w:top="776" w:footer="432" w:bottom="488"/>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20"/>
        <w:szCs w:val="20"/>
      </w:rPr>
      <w:t xml:space="preserve">-- Page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rPr>
      <w:t xml:space="preserve">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bCs/>
        <w:smallCaps/>
        <w:sz w:val="20"/>
        <w:szCs w:val="20"/>
      </w:rPr>
      <w:t>subcontractor agreement -- terms and conditions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bCs/>
        <w:smallCaps/>
      </w:rPr>
      <w:t>agreement to be used when contractor</w:t>
    </w:r>
  </w:p>
  <w:p>
    <w:pPr>
      <w:pStyle w:val="Normal"/>
      <w:tabs>
        <w:tab w:val="clear" w:pos="720"/>
        <w:tab w:val="right" w:pos="9360" w:leader="none"/>
      </w:tabs>
      <w:jc w:val="both"/>
      <w:rPr>
        <w:b/>
        <w:bCs/>
        <w:smallCaps/>
      </w:rPr>
    </w:pPr>
    <w:r>
      <w:rPr>
        <w:b/>
        <w:bCs/>
        <w:smallCaps/>
      </w:rPr>
      <w:tab/>
      <w:t xml:space="preserve">is subcontracting out part of the work to another company </w:t>
    </w:r>
  </w:p>
  <w:p>
    <w:pPr>
      <w:pStyle w:val="Normal"/>
      <w:tabs>
        <w:tab w:val="clear" w:pos="720"/>
        <w:tab w:val="right" w:pos="9360" w:leader="none"/>
      </w:tabs>
      <w:jc w:val="both"/>
      <w:rPr/>
    </w:pPr>
    <w:r>
      <w:rPr/>
      <w:tab/>
    </w:r>
    <w:r>
      <w:rPr>
        <w:b/>
        <w:bCs/>
        <w:smallCaps/>
      </w:rPr>
      <w:t>thursday, october 8, 1998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0" distR="0" simplePos="0" locked="0" layoutInCell="0" allowOverlap="1" relativeHeight="7">
              <wp:simplePos x="0" y="0"/>
              <wp:positionH relativeFrom="page">
                <wp:posOffset>914400</wp:posOffset>
              </wp:positionH>
              <wp:positionV relativeFrom="paragraph">
                <wp:posOffset>635</wp:posOffset>
              </wp:positionV>
              <wp:extent cx="5943600" cy="12065"/>
              <wp:effectExtent l="0" t="0" r="0" b="0"/>
              <wp:wrapNone/>
              <wp:docPr id="1" name=""/>
              <a:graphic xmlns:a="http://schemas.openxmlformats.org/drawingml/2006/main">
                <a:graphicData uri="http://schemas.microsoft.com/office/word/2010/wordprocessingShape">
                  <wps:wsp>
                    <wps:cNvSpPr/>
                    <wps:nvSpPr>
                      <wps:cNvPr id="2" name=""/>
                      <wps:cNvSpPr/>
                    </wps:nvSpPr>
                    <wps:spPr>
                      <a:xfrm>
                        <a:off x="0" y="0"/>
                        <a:ext cx="594360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0" distR="0" simplePos="0" locked="0" layoutInCell="0" allowOverlap="1" relativeHeight="13">
              <wp:simplePos x="0" y="0"/>
              <wp:positionH relativeFrom="page">
                <wp:posOffset>914400</wp:posOffset>
              </wp:positionH>
              <wp:positionV relativeFrom="paragraph">
                <wp:posOffset>635</wp:posOffset>
              </wp:positionV>
              <wp:extent cx="5943600" cy="12065"/>
              <wp:effectExtent l="0" t="0" r="0" b="0"/>
              <wp:wrapNone/>
              <wp:docPr id="3" name=""/>
              <a:graphic xmlns:a="http://schemas.openxmlformats.org/drawingml/2006/main">
                <a:graphicData uri="http://schemas.microsoft.com/office/word/2010/wordprocessingShape">
                  <wps:wsp>
                    <wps:cNvSpPr/>
                    <wps:nvSpPr>
                      <wps:cNvPr id="4" name=""/>
                      <wps:cNvSpPr/>
                    </wps:nvSpPr>
                    <wps:spPr>
                      <a:xfrm>
                        <a:off x="0" y="0"/>
                        <a:ext cx="594360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0" distR="0" simplePos="0" locked="0" layoutInCell="0" allowOverlap="1" relativeHeight="19">
              <wp:simplePos x="0" y="0"/>
              <wp:positionH relativeFrom="page">
                <wp:posOffset>914400</wp:posOffset>
              </wp:positionH>
              <wp:positionV relativeFrom="paragraph">
                <wp:posOffset>635</wp:posOffset>
              </wp:positionV>
              <wp:extent cx="5943600" cy="12065"/>
              <wp:effectExtent l="0" t="0" r="0" b="0"/>
              <wp:wrapNone/>
              <wp:docPr id="5" name=""/>
              <a:graphic xmlns:a="http://schemas.openxmlformats.org/drawingml/2006/main">
                <a:graphicData uri="http://schemas.microsoft.com/office/word/2010/wordprocessingShape">
                  <wps:wsp>
                    <wps:cNvSpPr/>
                    <wps:nvSpPr>
                      <wps:cNvPr id="6" name=""/>
                      <wps:cNvSpPr/>
                    </wps:nvSpPr>
                    <wps:spPr>
                      <a:xfrm>
                        <a:off x="0" y="0"/>
                        <a:ext cx="594360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rPr>
    </w:pPr>
    <w:r>
      <w:rPr>
        <w:lang w:val="en-CA"/>
      </w:rPr>
      <mc:AlternateContent>
        <mc:Choice Requires="wps">
          <w:drawing>
            <wp:anchor behindDoc="1" distT="0" distB="0" distL="0" distR="0" simplePos="0" locked="0" layoutInCell="0" allowOverlap="1" relativeHeight="25">
              <wp:simplePos x="0" y="0"/>
              <wp:positionH relativeFrom="page">
                <wp:posOffset>914400</wp:posOffset>
              </wp:positionH>
              <wp:positionV relativeFrom="paragraph">
                <wp:posOffset>635</wp:posOffset>
              </wp:positionV>
              <wp:extent cx="5943600" cy="12065"/>
              <wp:effectExtent l="0" t="0" r="0" b="0"/>
              <wp:wrapNone/>
              <wp:docPr id="7" name=""/>
              <a:graphic xmlns:a="http://schemas.openxmlformats.org/drawingml/2006/main">
                <a:graphicData uri="http://schemas.microsoft.com/office/word/2010/wordprocessingShape">
                  <wps:wsp>
                    <wps:cNvSpPr/>
                    <wps:nvSpPr>
                      <wps:cNvPr id="8" name=""/>
                      <wps:cNvSpPr/>
                    </wps:nvSpPr>
                    <wps:spPr>
                      <a:xfrm>
                        <a:off x="0" y="0"/>
                        <a:ext cx="594360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1999-03-18T19:33:00Z</dcterms:created>
  <dc:creator>Enron</dc:creator>
  <dc:description/>
  <dc:language>en-CA</dc:language>
  <cp:lastModifiedBy>cdurmas</cp:lastModifiedBy>
  <cp:lastPrinted>1998-10-12T14:30:00Z</cp:lastPrinted>
  <dcterms:modified xsi:type="dcterms:W3CDTF">1999-03-18T19:57:00Z</dcterms:modified>
  <cp:revision>1</cp:revision>
  <dc:subject/>
  <dc:title>	TERMS AND CONDITIONS</dc:title>
</cp:coreProperties>
</file>