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rPr>
      </w:pPr>
      <w:r>
        <w:rPr>
          <w:color w:val="0000FF"/>
        </w:rPr>
        <w:t>CAPACITY APPROVAL LEVELS</w:t>
      </w:r>
    </w:p>
    <w:p>
      <w:pPr>
        <w:pStyle w:val="Normal"/>
        <w:rPr>
          <w:color w:val="0000FF"/>
        </w:rPr>
      </w:pPr>
      <w:r>
        <w:rPr>
          <w:color w:val="0000FF"/>
        </w:rPr>
      </w:r>
    </w:p>
    <w:p>
      <w:pPr>
        <w:pStyle w:val="Normal"/>
        <w:jc w:val="center"/>
        <w:rPr>
          <w:b/>
        </w:rPr>
      </w:pPr>
      <w:r>
        <w:rPr>
          <w:b/>
        </w:rPr>
        <w:t>Short Term Sustainable Capacity</w:t>
      </w:r>
    </w:p>
    <w:p>
      <w:pPr>
        <w:pStyle w:val="Normal"/>
        <w:jc w:val="center"/>
        <w:rPr/>
      </w:pPr>
      <w:r>
        <w:rPr/>
        <w:t>Date Posted:</w:t>
      </w:r>
      <w:r>
        <w:rPr>
          <w:b/>
          <w:bCs/>
        </w:rPr>
        <w:t xml:space="preserve"> </w:t>
      </w:r>
      <w:r>
        <w:rPr>
          <w:color w:val="FF0000"/>
        </w:rPr>
        <w:t xml:space="preserve">{insert posting date} </w:t>
      </w:r>
    </w:p>
    <w:p>
      <w:pPr>
        <w:pStyle w:val="Normal"/>
        <w:jc w:val="center"/>
        <w:rPr>
          <w:color w:val="FF0000"/>
        </w:rPr>
      </w:pPr>
      <w:r>
        <w:rPr>
          <w:color w:val="FF0000"/>
        </w:rPr>
        <w:t>Note: Date should be updated each time the posting changes</w:t>
      </w:r>
    </w:p>
    <w:p>
      <w:pPr>
        <w:pStyle w:val="Normal"/>
        <w:ind w:end="720"/>
        <w:rPr>
          <w:color w:val="FF0000"/>
        </w:rPr>
      </w:pPr>
      <w:r>
        <w:rPr>
          <w:color w:val="FF0000"/>
        </w:rPr>
      </w:r>
    </w:p>
    <w:p>
      <w:pPr>
        <w:pStyle w:val="Normal"/>
        <w:rPr>
          <w:rFonts w:ascii="Arial" w:hAnsi="Arial" w:cs="Arial"/>
          <w:b/>
        </w:rPr>
      </w:pPr>
      <w:r>
        <w:rPr/>
        <w:t xml:space="preserve">Northern Natural Gas Company hereby provides notice that short-term sustainable capacity may be available at the following receipt and/or delivery points during the period indicated.  </w:t>
      </w:r>
      <w:r>
        <w:rPr>
          <w:bCs/>
        </w:rPr>
        <w:t>The available capacity listed is for informational purposes only, and can change at any time, without notice, due to firm requests and changes in operating conditions.  This capacity may be further limited by group and/or path constraints.</w:t>
      </w:r>
      <w:r>
        <w:rPr/>
        <w:t xml:space="preserve"> </w:t>
      </w:r>
    </w:p>
    <w:p>
      <w:pPr>
        <w:pStyle w:val="Normal"/>
        <w:rPr>
          <w:rFonts w:ascii="Arial" w:hAnsi="Arial" w:cs="Arial"/>
          <w:b/>
        </w:rPr>
      </w:pPr>
      <w:r>
        <w:rPr>
          <w:rFonts w:cs="Arial" w:ascii="Arial" w:hAnsi="Arial"/>
          <w:b/>
        </w:rPr>
      </w:r>
    </w:p>
    <w:p>
      <w:pPr>
        <w:pStyle w:val="Normal"/>
        <w:rPr>
          <w:bCs/>
        </w:rPr>
      </w:pPr>
      <w:r>
        <w:rPr>
          <w:bCs/>
        </w:rPr>
        <w:t xml:space="preserve">In accordance with Section 26 of the General Terms and Conditions of Northern’s FERC Gas Tariff, any bid submitted for a specific package of available capacity shall be evaluated pursuant to the highest net present value methodology, unless Northern specifies an alternative bid evaluation methodology.  This capacity is available in accordance with the rates, terms, and conditions of Northern’s FERC Gas Tariff.  Northern is not required to execute any contract for service at less than maximum rates. </w:t>
      </w:r>
    </w:p>
    <w:p>
      <w:pPr>
        <w:pStyle w:val="Normal"/>
        <w:rPr>
          <w:bCs/>
        </w:rPr>
      </w:pPr>
      <w:r>
        <w:rPr>
          <w:bCs/>
        </w:rPr>
      </w:r>
    </w:p>
    <w:p>
      <w:pPr>
        <w:pStyle w:val="Normal"/>
        <w:rPr/>
      </w:pPr>
      <w:r>
        <w:rPr/>
        <w:t>Northern may, from time to time, also post packages of this available capacity at specific rates and terms on Enron Online, which will be awarded on a “first-come, first-served” basis.</w:t>
      </w:r>
    </w:p>
    <w:p>
      <w:pPr>
        <w:pStyle w:val="Normal"/>
        <w:rPr/>
      </w:pPr>
      <w:r>
        <w:rPr/>
      </w:r>
    </w:p>
    <w:p>
      <w:pPr>
        <w:pStyle w:val="Normal"/>
        <w:jc w:val="center"/>
        <w:rPr>
          <w:sz w:val="16"/>
        </w:rPr>
      </w:pPr>
      <w:r>
        <w:rPr>
          <w:sz w:val="16"/>
        </w:rPr>
        <w:t xml:space="preserve">Available Capacity Effective Date and </w:t>
      </w:r>
      <w:r>
        <w:rPr>
          <w:color w:val="FF0000"/>
          <w:sz w:val="16"/>
        </w:rPr>
        <w:t>{insert date &amp; time}</w:t>
      </w:r>
      <w:r>
        <w:rPr>
          <w:sz w:val="16"/>
        </w:rPr>
        <w:t xml:space="preserve"> Available Capacity End Date and Time </w:t>
      </w:r>
      <w:r>
        <w:rPr>
          <w:color w:val="FF0000"/>
          <w:sz w:val="16"/>
        </w:rPr>
        <w:t>{insert date &amp; time}</w:t>
      </w:r>
    </w:p>
    <w:p>
      <w:pPr>
        <w:pStyle w:val="Normal"/>
        <w:rPr>
          <w:sz w:val="16"/>
        </w:rPr>
      </w:pPr>
      <w:r>
        <w:rPr>
          <w:sz w:val="16"/>
        </w:rPr>
      </w:r>
    </w:p>
    <w:tbl>
      <w:tblPr>
        <w:tblW w:w="8856" w:type="dxa"/>
        <w:jc w:val="start"/>
        <w:tblInd w:w="0" w:type="dxa"/>
        <w:tblLayout w:type="fixed"/>
        <w:tblCellMar>
          <w:top w:w="0" w:type="dxa"/>
          <w:start w:w="108" w:type="dxa"/>
          <w:bottom w:w="0" w:type="dxa"/>
          <w:end w:w="108" w:type="dxa"/>
        </w:tblCellMar>
      </w:tblPr>
      <w:tblGrid>
        <w:gridCol w:w="3432"/>
        <w:gridCol w:w="816"/>
        <w:gridCol w:w="1275"/>
        <w:gridCol w:w="1801"/>
        <w:gridCol w:w="1532"/>
      </w:tblGrid>
      <w:tr>
        <w:trPr/>
        <w:tc>
          <w:tcPr>
            <w:tcW w:w="343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RECEIPT POINTS</w:t>
            </w:r>
          </w:p>
        </w:tc>
        <w:tc>
          <w:tcPr>
            <w:tcW w:w="816"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POI #</w:t>
            </w:r>
          </w:p>
        </w:tc>
        <w:tc>
          <w:tcPr>
            <w:tcW w:w="1275"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Dth/d</w:t>
            </w:r>
          </w:p>
        </w:tc>
        <w:tc>
          <w:tcPr>
            <w:tcW w:w="1801"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Period Available</w:t>
            </w:r>
          </w:p>
        </w:tc>
        <w:tc>
          <w:tcPr>
            <w:tcW w:w="1532"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Daily *</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b/>
                <w:bCs/>
                <w:color w:val="FF0000"/>
              </w:rPr>
            </w:pPr>
            <w:r>
              <w:rPr>
                <w:b/>
                <w:bCs/>
                <w:color w:val="FF0000"/>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rPr>
                <w:b/>
                <w:bCs/>
                <w:color w:val="FF0000"/>
              </w:rPr>
            </w:pPr>
            <w:r>
              <w:rPr>
                <w:b/>
                <w:bCs/>
                <w:color w:val="FF0000"/>
              </w:rPr>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UP TO</w:t>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TBPL/NNG Beatrice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1318</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GRLKS/NNG Carlton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388</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29,000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NBPL/NNG Ventura</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192</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 Field/Market Demarc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37654</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100,000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ANR/NNG Greensburg</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179</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NNG/KN Tescott Pony Express</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71214</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PEPL/NNG Mullinville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173</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120,000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DELIVERY POINTS</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color w:val="FF0000"/>
              </w:rPr>
            </w:pPr>
            <w:r>
              <w:rPr>
                <w:color w:val="FF0000"/>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FF0000"/>
              </w:rPr>
            </w:pPr>
            <w:r>
              <w:rPr>
                <w:color w:val="FF0000"/>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NBPL/NNG Ventura</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192</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El Paso/NNG Keystone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169</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 East Leg Group Capacity</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25,000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FF0000"/>
              </w:rPr>
            </w:pPr>
            <w:r>
              <w:rPr>
                <w:color w:val="FF0000"/>
              </w:rPr>
              <w:t>GRLKS/NNG Carlton (non SOL days)</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color w:val="FF0000"/>
              </w:rPr>
              <w:t>388</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color w:val="FF0000"/>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color w:val="FF0000"/>
              </w:rPr>
              <w:t>NOV-DEC</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color w:val="FF0000"/>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color w:val="FF0000"/>
              </w:rPr>
            </w:pPr>
            <w:r>
              <w:rPr>
                <w:color w:val="FF0000"/>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sz w:val="28"/>
        </w:rPr>
        <w:t>*</w:t>
      </w:r>
      <w:r>
        <w:rPr/>
        <w:t xml:space="preserve">  Indicates that Daily Capacity may be available for the timely nomination cycle.  For additional details, see the Unsubscribed Daily Capacity Report on this website.  Northern will update the Unsubscribed Daily Capacity Report by 8:30 a.m., CDT each business day.  </w:t>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bCs/>
      <w:sz w:val="20"/>
      <w:szCs w:val="20"/>
    </w:rPr>
  </w:style>
  <w:style w:type="paragraph" w:styleId="Heading3">
    <w:name w:val="heading 3"/>
    <w:basedOn w:val="Normal"/>
    <w:next w:val="Normal"/>
    <w:qFormat/>
    <w:pPr>
      <w:keepNext w:val="true"/>
      <w:numPr>
        <w:ilvl w:val="2"/>
        <w:numId w:val="1"/>
      </w:numPr>
      <w:jc w:val="center"/>
      <w:outlineLvl w:val="2"/>
    </w:pPr>
    <w:rPr>
      <w:b/>
      <w:bCs/>
      <w:sz w:val="20"/>
      <w:szCs w:val="20"/>
    </w:rPr>
  </w:style>
  <w:style w:type="paragraph" w:styleId="Heading4">
    <w:name w:val="heading 4"/>
    <w:basedOn w:val="Normal"/>
    <w:next w:val="Normal"/>
    <w:qFormat/>
    <w:pPr>
      <w:keepNext w:val="true"/>
      <w:numPr>
        <w:ilvl w:val="3"/>
        <w:numId w:val="1"/>
      </w:numPr>
      <w:jc w:val="center"/>
      <w:outlineLvl w:val="3"/>
    </w:pPr>
    <w:rPr>
      <w:b/>
      <w:bCs/>
      <w:color w:val="FF0000"/>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2001-10-26T17:30:00Z</dcterms:created>
  <dc:creator>rpaladin</dc:creator>
  <dc:description/>
  <dc:language>en-CA</dc:language>
  <cp:lastModifiedBy>rpaladin</cp:lastModifiedBy>
  <dcterms:modified xsi:type="dcterms:W3CDTF">2001-11-12T12:44:00Z</dcterms:modified>
  <cp:revision>4</cp:revision>
  <dc:subject/>
  <dc:title>Short Term Sustainable Capacity</dc:title>
</cp:coreProperties>
</file>