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STRUCTURE AND PROCESS FOR DEFERRED PAYMENT DEALS</w:t>
      </w:r>
    </w:p>
    <w:p>
      <w:pPr>
        <w:pStyle w:val="Normal"/>
        <w:rPr>
          <w:sz w:val="24"/>
        </w:rPr>
      </w:pPr>
      <w:r>
        <w:rPr>
          <w:sz w:val="24"/>
        </w:rPr>
      </w:r>
    </w:p>
    <w:p>
      <w:pPr>
        <w:pStyle w:val="Normal"/>
        <w:rPr>
          <w:sz w:val="24"/>
        </w:rPr>
      </w:pPr>
      <w:r>
        <w:rPr>
          <w:sz w:val="24"/>
        </w:rPr>
      </w:r>
    </w:p>
    <w:p>
      <w:pPr>
        <w:pStyle w:val="Heading1"/>
        <w:ind w:hanging="0" w:start="0"/>
        <w:rPr/>
      </w:pPr>
      <w:r>
        <w:rPr/>
        <w:t>Summary of Deal Structure</w:t>
      </w:r>
    </w:p>
    <w:p>
      <w:pPr>
        <w:pStyle w:val="BodyText"/>
        <w:rPr/>
      </w:pPr>
      <w:r>
        <w:rPr/>
        <w:t xml:space="preserve">Deferred payment deals are essentially loans to an ENA counter-party in the form of delivery of gas in one or more months with the deferred payment for this supply to a later period.  Recent market interest in deferred payments has focused on the LDC market and has involved the delivery of gas over the summer months (ostensibly for filling storage) with a deferral of the payment for this gas to the winter months.  </w:t>
      </w:r>
    </w:p>
    <w:p>
      <w:pPr>
        <w:pStyle w:val="BodyText"/>
        <w:rPr/>
      </w:pPr>
      <w:r>
        <w:rPr/>
      </w:r>
    </w:p>
    <w:p>
      <w:pPr>
        <w:pStyle w:val="BodyText"/>
        <w:rPr/>
      </w:pPr>
      <w:r>
        <w:rPr/>
        <w:t>LDCs typically recover carrying costs in the form of a fixed $ amount in their base rates.  Unless the LDC filed a rate case within the last 12 months (and almost none have), the LDC is upside-down on its carrying cost rate.  Since the LDC cannot get an increase in base rates without filing a rate case, this structure allows LDCs to recover carrying costs by passing such costs through in the form of a gas cost.  Market interest is higher than past years due to much higher gas prices (and associated carrying costs).</w:t>
      </w:r>
    </w:p>
    <w:p>
      <w:pPr>
        <w:pStyle w:val="BodyText"/>
        <w:rPr/>
      </w:pPr>
      <w:r>
        <w:rPr/>
      </w:r>
    </w:p>
    <w:p>
      <w:pPr>
        <w:pStyle w:val="BodyText"/>
        <w:rPr/>
      </w:pPr>
      <w:r>
        <w:rPr/>
        <w:t>To fix the amount of the loan (and ENA’s associated cost of funds risk), the loan portion of the deal must be structured around a fixed price sale to the customer.  If the customer prefers to purchase index supply, they can enter into an associated fixed-for-float transaction for the same quantities and locations as the fixed price sale.  Payment for the fixed price sale is deferred.  Payment for the fixed-for-float swap is paid on a current basis.</w:t>
      </w:r>
    </w:p>
    <w:p>
      <w:pPr>
        <w:pStyle w:val="BodyText"/>
        <w:rPr/>
      </w:pPr>
      <w:r>
        <w:rPr/>
      </w:r>
    </w:p>
    <w:p>
      <w:pPr>
        <w:pStyle w:val="BodyText"/>
        <w:rPr/>
      </w:pPr>
      <w:r>
        <w:rPr/>
        <w:t>Margin is generated by charging the customer a higher interest rate than the deal is charged by ENA treasury.</w:t>
      </w:r>
    </w:p>
    <w:p>
      <w:pPr>
        <w:pStyle w:val="Normal"/>
        <w:rPr>
          <w:sz w:val="24"/>
        </w:rPr>
      </w:pPr>
      <w:r>
        <w:rPr>
          <w:sz w:val="24"/>
        </w:rPr>
      </w:r>
    </w:p>
    <w:p>
      <w:pPr>
        <w:pStyle w:val="Heading1"/>
        <w:ind w:hanging="0" w:start="0"/>
        <w:rPr/>
      </w:pPr>
      <w:r>
        <w:rPr/>
        <w:t>Positions and Quotes</w:t>
      </w:r>
    </w:p>
    <w:p>
      <w:pPr>
        <w:pStyle w:val="Heading2"/>
        <w:spacing w:before="120" w:after="0"/>
        <w:ind w:hanging="0" w:start="0"/>
        <w:rPr/>
      </w:pPr>
      <w:r>
        <w:rPr/>
        <w:t>Option A: Fixed Price Sale</w:t>
      </w:r>
    </w:p>
    <w:p>
      <w:pPr>
        <w:pStyle w:val="Normal"/>
        <w:rPr>
          <w:sz w:val="24"/>
        </w:rPr>
      </w:pPr>
      <w:r>
        <w:rPr>
          <w:sz w:val="24"/>
        </w:rPr>
        <w:t>If the customer is interested in purchasing fixed price gas the following positions and quotes are required:</w:t>
      </w:r>
    </w:p>
    <w:p>
      <w:pPr>
        <w:pStyle w:val="Normal"/>
        <w:numPr>
          <w:ilvl w:val="0"/>
          <w:numId w:val="2"/>
        </w:numPr>
        <w:tabs>
          <w:tab w:val="clear" w:pos="720"/>
        </w:tabs>
        <w:spacing w:before="120" w:after="0"/>
        <w:rPr>
          <w:sz w:val="24"/>
        </w:rPr>
      </w:pPr>
      <w:r>
        <w:rPr>
          <w:sz w:val="24"/>
        </w:rPr>
        <w:t>Desk offer for fixed price gas at the location customer is purchasing (NYMEX, Basis, and index offer)</w:t>
      </w:r>
    </w:p>
    <w:p>
      <w:pPr>
        <w:pStyle w:val="Normal"/>
        <w:numPr>
          <w:ilvl w:val="0"/>
          <w:numId w:val="2"/>
        </w:numPr>
        <w:tabs>
          <w:tab w:val="clear" w:pos="720"/>
        </w:tabs>
        <w:spacing w:before="120" w:after="0"/>
        <w:rPr>
          <w:sz w:val="24"/>
        </w:rPr>
      </w:pPr>
      <w:r>
        <w:rPr>
          <w:sz w:val="24"/>
        </w:rPr>
        <w:t>Credit reserve based on the cash flow of deal (amount of loan) and customer’s credit rating</w:t>
      </w:r>
    </w:p>
    <w:p>
      <w:pPr>
        <w:pStyle w:val="Normal"/>
        <w:numPr>
          <w:ilvl w:val="0"/>
          <w:numId w:val="2"/>
        </w:numPr>
        <w:tabs>
          <w:tab w:val="clear" w:pos="720"/>
        </w:tabs>
        <w:spacing w:before="120" w:after="0"/>
        <w:rPr>
          <w:sz w:val="24"/>
        </w:rPr>
      </w:pPr>
      <w:r>
        <w:rPr>
          <w:sz w:val="24"/>
        </w:rPr>
        <w:t>Cost of funds quote (provided by Joe Dephner) based on cash flow of deal.</w:t>
      </w:r>
    </w:p>
    <w:p>
      <w:pPr>
        <w:pStyle w:val="Normal"/>
        <w:spacing w:before="120" w:after="0"/>
        <w:rPr>
          <w:sz w:val="24"/>
        </w:rPr>
      </w:pPr>
      <w:r>
        <w:rPr>
          <w:sz w:val="24"/>
        </w:rPr>
      </w:r>
    </w:p>
    <w:p>
      <w:pPr>
        <w:pStyle w:val="Heading2"/>
        <w:spacing w:before="120" w:after="0"/>
        <w:ind w:hanging="0" w:start="0"/>
        <w:rPr/>
      </w:pPr>
      <w:r>
        <w:rPr/>
        <w:t>Option B: Index Sale</w:t>
      </w:r>
    </w:p>
    <w:p>
      <w:pPr>
        <w:pStyle w:val="Normal"/>
        <w:rPr>
          <w:sz w:val="24"/>
        </w:rPr>
      </w:pPr>
      <w:r>
        <w:rPr>
          <w:sz w:val="24"/>
        </w:rPr>
        <w:t>If the customer prefers to pay index prices for its supply the following positions and quotes are required::</w:t>
      </w:r>
    </w:p>
    <w:p>
      <w:pPr>
        <w:pStyle w:val="Normal"/>
        <w:numPr>
          <w:ilvl w:val="0"/>
          <w:numId w:val="2"/>
        </w:numPr>
        <w:tabs>
          <w:tab w:val="clear" w:pos="720"/>
        </w:tabs>
        <w:spacing w:before="120" w:after="0"/>
        <w:rPr>
          <w:sz w:val="24"/>
        </w:rPr>
      </w:pPr>
      <w:r>
        <w:rPr>
          <w:sz w:val="24"/>
        </w:rPr>
        <w:t>Desk offer for index only</w:t>
      </w:r>
    </w:p>
    <w:p>
      <w:pPr>
        <w:pStyle w:val="Normal"/>
        <w:numPr>
          <w:ilvl w:val="0"/>
          <w:numId w:val="2"/>
        </w:numPr>
        <w:tabs>
          <w:tab w:val="clear" w:pos="720"/>
        </w:tabs>
        <w:spacing w:before="120" w:after="0"/>
        <w:rPr>
          <w:sz w:val="24"/>
        </w:rPr>
      </w:pPr>
      <w:r>
        <w:rPr>
          <w:sz w:val="24"/>
        </w:rPr>
        <w:t>Credit reserve based on the cash flow of deal (amount of loan) and customer’s credit rating</w:t>
      </w:r>
    </w:p>
    <w:p>
      <w:pPr>
        <w:pStyle w:val="Normal"/>
        <w:numPr>
          <w:ilvl w:val="0"/>
          <w:numId w:val="2"/>
        </w:numPr>
        <w:tabs>
          <w:tab w:val="clear" w:pos="720"/>
        </w:tabs>
        <w:spacing w:before="120" w:after="0"/>
        <w:rPr>
          <w:sz w:val="24"/>
        </w:rPr>
      </w:pPr>
      <w:r>
        <w:rPr>
          <w:sz w:val="24"/>
        </w:rPr>
        <w:t>Cost of funds quote (provided by Joe Dephner) based on cash flow of deal.</w:t>
      </w:r>
    </w:p>
    <w:p>
      <w:pPr>
        <w:pStyle w:val="Normal"/>
        <w:spacing w:before="120" w:after="0"/>
        <w:rPr>
          <w:sz w:val="24"/>
        </w:rPr>
      </w:pPr>
      <w:r>
        <w:rPr>
          <w:sz w:val="24"/>
        </w:rPr>
        <w:t>No quote for NYMEX or Basis is required under the index sale option because the combination of the fixed price sale and fixed-for-float swap results in an Index short position with no NYMEX or Basis risk.</w:t>
      </w:r>
    </w:p>
    <w:p>
      <w:pPr>
        <w:pStyle w:val="Normal"/>
        <w:spacing w:before="120" w:after="0"/>
        <w:rPr>
          <w:sz w:val="24"/>
        </w:rPr>
      </w:pPr>
      <w:r>
        <w:rPr>
          <w:sz w:val="24"/>
        </w:rPr>
      </w:r>
    </w:p>
    <w:p>
      <w:pPr>
        <w:pStyle w:val="Heading1"/>
        <w:ind w:hanging="0" w:start="0"/>
        <w:rPr/>
      </w:pPr>
      <w:r>
        <w:rPr/>
        <w:t>Contracts Required</w:t>
      </w:r>
    </w:p>
    <w:p>
      <w:pPr>
        <w:pStyle w:val="Normal"/>
        <w:rPr>
          <w:sz w:val="24"/>
        </w:rPr>
      </w:pPr>
      <w:r>
        <w:rPr>
          <w:sz w:val="24"/>
        </w:rPr>
        <w:t>The following agreements will be required for this transaction:</w:t>
      </w:r>
    </w:p>
    <w:p>
      <w:pPr>
        <w:pStyle w:val="Normal"/>
        <w:numPr>
          <w:ilvl w:val="0"/>
          <w:numId w:val="2"/>
        </w:numPr>
        <w:tabs>
          <w:tab w:val="clear" w:pos="720"/>
        </w:tabs>
        <w:spacing w:before="120" w:after="0"/>
        <w:rPr>
          <w:sz w:val="24"/>
        </w:rPr>
      </w:pPr>
      <w:r>
        <w:rPr>
          <w:sz w:val="24"/>
        </w:rPr>
        <w:t xml:space="preserve">Master firm purchase and sale agreement </w:t>
      </w:r>
    </w:p>
    <w:p>
      <w:pPr>
        <w:pStyle w:val="Normal"/>
        <w:numPr>
          <w:ilvl w:val="0"/>
          <w:numId w:val="2"/>
        </w:numPr>
        <w:tabs>
          <w:tab w:val="clear" w:pos="720"/>
        </w:tabs>
        <w:spacing w:before="120" w:after="0"/>
        <w:ind w:hanging="720" w:start="2160" w:end="0"/>
        <w:rPr>
          <w:sz w:val="24"/>
        </w:rPr>
      </w:pPr>
      <w:r>
        <w:rPr>
          <w:sz w:val="24"/>
        </w:rPr>
        <w:t>Transaction Agreement (confirmation) under the Master Firm covering the physical sale of gas at a fixed price</w:t>
      </w:r>
    </w:p>
    <w:p>
      <w:pPr>
        <w:pStyle w:val="Normal"/>
        <w:numPr>
          <w:ilvl w:val="0"/>
          <w:numId w:val="2"/>
        </w:numPr>
        <w:tabs>
          <w:tab w:val="clear" w:pos="720"/>
        </w:tabs>
        <w:spacing w:before="120" w:after="0"/>
        <w:rPr>
          <w:sz w:val="24"/>
        </w:rPr>
      </w:pPr>
      <w:r>
        <w:rPr>
          <w:sz w:val="24"/>
        </w:rPr>
        <w:t>ISDA if the customer prefers to purchase index supply</w:t>
      </w:r>
    </w:p>
    <w:p>
      <w:pPr>
        <w:pStyle w:val="Normal"/>
        <w:numPr>
          <w:ilvl w:val="0"/>
          <w:numId w:val="2"/>
        </w:numPr>
        <w:tabs>
          <w:tab w:val="clear" w:pos="720"/>
        </w:tabs>
        <w:spacing w:before="120" w:after="0"/>
        <w:ind w:hanging="720" w:start="2160" w:end="0"/>
        <w:rPr>
          <w:sz w:val="24"/>
        </w:rPr>
      </w:pPr>
      <w:r>
        <w:rPr>
          <w:sz w:val="24"/>
        </w:rPr>
        <w:t>Transaction Agreement (confirmation) under the ISDA covering the fixed-for-float swap</w:t>
      </w:r>
    </w:p>
    <w:p>
      <w:pPr>
        <w:pStyle w:val="Normal"/>
        <w:spacing w:before="120" w:after="0"/>
        <w:rPr>
          <w:sz w:val="24"/>
        </w:rPr>
      </w:pPr>
      <w:r>
        <w:rPr>
          <w:sz w:val="24"/>
        </w:rPr>
        <w:t xml:space="preserve">Because these deals are essentially loans, ENA credit will require some additional language in each Transaction Agreement to cover the risk of the loan.  Depending on the size of the loan and the customer’s credit rating, this language may include references to the customer’s revolving credit agreement with its bank and requirements that the customer maintain a certain credit rating and debt to equity ratio.  </w:t>
      </w:r>
    </w:p>
    <w:p>
      <w:pPr>
        <w:pStyle w:val="Normal"/>
        <w:spacing w:before="120" w:after="0"/>
        <w:rPr>
          <w:sz w:val="24"/>
        </w:rPr>
      </w:pPr>
      <w:r>
        <w:rPr>
          <w:sz w:val="24"/>
        </w:rPr>
        <w:t xml:space="preserve">Additional agreements could be required depending on the particulars of each deal.  For example, a termination letter may be needed if you are converting an existing sale into a deferred payment deal.  A Parent Guarantee may also be needed.  </w:t>
      </w:r>
    </w:p>
    <w:p>
      <w:pPr>
        <w:pStyle w:val="Normal"/>
        <w:spacing w:before="120" w:after="0"/>
        <w:rPr>
          <w:sz w:val="24"/>
        </w:rPr>
      </w:pPr>
      <w:r>
        <w:rPr>
          <w:sz w:val="24"/>
        </w:rPr>
      </w:r>
    </w:p>
    <w:p>
      <w:pPr>
        <w:pStyle w:val="Heading1"/>
        <w:spacing w:before="120" w:after="0"/>
        <w:ind w:hanging="0" w:start="0"/>
        <w:rPr>
          <w:bCs/>
        </w:rPr>
      </w:pPr>
      <w:r>
        <w:rPr>
          <w:bCs/>
        </w:rPr>
        <w:t>Alternate Structure</w:t>
      </w:r>
    </w:p>
    <w:p>
      <w:pPr>
        <w:pStyle w:val="Normal"/>
        <w:spacing w:before="120" w:after="0"/>
        <w:rPr>
          <w:sz w:val="24"/>
        </w:rPr>
      </w:pPr>
      <w:r>
        <w:rPr>
          <w:sz w:val="24"/>
        </w:rPr>
        <w:t>The economics of this transaction can be improved if the customer is willing to release storage to ENA for the term of the deal.  The advantages of such a release are:</w:t>
      </w:r>
    </w:p>
    <w:p>
      <w:pPr>
        <w:pStyle w:val="Normal"/>
        <w:numPr>
          <w:ilvl w:val="0"/>
          <w:numId w:val="2"/>
        </w:numPr>
        <w:spacing w:before="120" w:after="0"/>
        <w:rPr>
          <w:sz w:val="24"/>
        </w:rPr>
      </w:pPr>
      <w:r>
        <w:rPr>
          <w:sz w:val="24"/>
        </w:rPr>
        <w:t>The credit reserve is smaller or possibly zero.  Since ENA holds title to the gas and can resell to the market if the customer defaults.</w:t>
      </w:r>
    </w:p>
    <w:p>
      <w:pPr>
        <w:pStyle w:val="Normal"/>
        <w:numPr>
          <w:ilvl w:val="0"/>
          <w:numId w:val="2"/>
        </w:numPr>
        <w:spacing w:before="120" w:after="0"/>
        <w:rPr>
          <w:sz w:val="24"/>
        </w:rPr>
      </w:pPr>
      <w:r>
        <w:rPr>
          <w:sz w:val="24"/>
        </w:rPr>
        <w:t>Some of the paperwork can be eliminated (such as references to Bank agreements and possibly the Parent Guaranty).</w:t>
      </w:r>
    </w:p>
    <w:p>
      <w:pPr>
        <w:pStyle w:val="Normal"/>
        <w:numPr>
          <w:ilvl w:val="0"/>
          <w:numId w:val="2"/>
        </w:numPr>
        <w:spacing w:before="120" w:after="0"/>
        <w:rPr>
          <w:sz w:val="24"/>
        </w:rPr>
      </w:pPr>
      <w:r>
        <w:rPr>
          <w:sz w:val="24"/>
        </w:rPr>
        <w:t>ENA may realize additional value if the storage provides some flexibility above that required for the transaction.</w:t>
      </w:r>
    </w:p>
    <w:p>
      <w:pPr>
        <w:pStyle w:val="Normal"/>
        <w:rPr>
          <w:sz w:val="24"/>
        </w:rPr>
      </w:pPr>
      <w:r>
        <w:rPr>
          <w:sz w:val="24"/>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i/>
      <w:sz w:val="24"/>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2001-04-20T19:38:00Z</dcterms:created>
  <dc:creator>s_khopper</dc:creator>
  <dc:description/>
  <dc:language>en-CA</dc:language>
  <cp:lastModifiedBy>mbreese</cp:lastModifiedBy>
  <dcterms:modified xsi:type="dcterms:W3CDTF">2001-04-20T19:38:00Z</dcterms:modified>
  <cp:revision>2</cp:revision>
  <dc:subject/>
  <dc:title>STRUCTURE AND PROCESS FOR DEFERRED PAYMENT DEALS</dc:title>
</cp:coreProperties>
</file>