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Generic Standard Contract</w:t>
      </w:r>
    </w:p>
    <w:p>
      <w:pPr>
        <w:pStyle w:val="Normal"/>
        <w:widowControl/>
        <w:jc w:val="both"/>
        <w:rPr>
          <w:rFonts w:ascii="Times New Roman" w:hAnsi="Times New Roman" w:cs="Times New Roman"/>
        </w:rPr>
      </w:pPr>
      <w:r>
        <w:rPr>
          <w:rFonts w:cs="Times New Roman" w:ascii="Times New Roman" w:hAnsi="Times New Roman"/>
          <w:b/>
          <w:i/>
        </w:rPr>
        <w:t>Updated September 28, 2000</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rPr>
        <w:tab/>
      </w:r>
      <w:r>
        <w:rPr>
          <w:rFonts w:cs="Times New Roman" w:ascii="Times New Roman" w:hAnsi="Times New Roman"/>
          <w:b/>
          <w:sz w:val="48"/>
        </w:rPr>
        <w:t>CONFIDENTIAL</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sz w:val="32"/>
        </w:rPr>
        <w:t>MASTER GAS PURCHASE CONTRACT</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By and Between</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____________________________</w:t>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As Seller</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and</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NATIONAL FUEL GAS DISTRIBUTION CORPORATION</w:t>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as Buyer</w:t>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jc w:val="both"/>
        <w:rPr>
          <w:rFonts w:ascii="Times New Roman" w:hAnsi="Times New Roman" w:cs="Times New Roman"/>
          <w:sz w:val="32"/>
        </w:rPr>
      </w:pPr>
      <w:r>
        <w:rPr>
          <w:rFonts w:cs="Times New Roman" w:ascii="Times New Roman" w:hAnsi="Times New Roman"/>
          <w:sz w:val="32"/>
        </w:rPr>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________________</w:t>
      </w:r>
    </w:p>
    <w:p>
      <w:pPr>
        <w:pStyle w:val="Normal"/>
        <w:widowControl/>
        <w:tabs>
          <w:tab w:val="clear" w:pos="720"/>
          <w:tab w:val="center" w:pos="4680" w:leader="none"/>
        </w:tabs>
        <w:jc w:val="both"/>
        <w:rPr>
          <w:rFonts w:ascii="Times New Roman" w:hAnsi="Times New Roman" w:cs="Times New Roman"/>
          <w:sz w:val="32"/>
        </w:rPr>
      </w:pPr>
      <w:r>
        <w:rPr>
          <w:rFonts w:cs="Times New Roman" w:ascii="Times New Roman" w:hAnsi="Times New Roman"/>
          <w:sz w:val="32"/>
        </w:rPr>
        <w:tab/>
        <w:t>(DATE)</w:t>
      </w:r>
    </w:p>
    <w:p>
      <w:pPr>
        <w:sectPr>
          <w:footerReference w:type="default" r:id="rId2"/>
          <w:type w:val="nextPage"/>
          <w:pgSz w:w="12240" w:h="15840"/>
          <w:pgMar w:left="1440" w:right="1440" w:gutter="0" w:header="0" w:top="1440" w:footer="720" w:bottom="776"/>
          <w:pgNumType w:fmt="decimal"/>
          <w:formProt w:val="false"/>
          <w:vAlign w:val="center"/>
          <w:textDirection w:val="lrTb"/>
          <w:docGrid w:type="default" w:linePitch="360" w:charSpace="0"/>
        </w:sectPr>
        <w:pStyle w:val="Normal"/>
        <w:widowControl/>
        <w:jc w:val="both"/>
        <w:rPr>
          <w:rFonts w:ascii="Times New Roman" w:hAnsi="Times New Roman" w:cs="Times New Roman"/>
        </w:rPr>
      </w:pPr>
      <w:r>
        <w:rPr>
          <w:rFonts w:cs="Times New Roman" w:ascii="Times New Roman" w:hAnsi="Times New Roman"/>
          <w:sz w:val="32"/>
        </w:rPr>
        <w:t xml:space="preserve">   </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MASTER GAS PURCHASE CONTRACT</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Between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t>____________________________ (</w:t>
      </w:r>
      <w:r>
        <w:rPr>
          <w:rFonts w:cs="WP TypographicSymbols" w:ascii="WP TypographicSymbols" w:hAnsi="WP TypographicSymbols"/>
        </w:rPr>
        <w:t>A</w:t>
      </w:r>
      <w:r>
        <w:rPr>
          <w:rFonts w:cs="Times New Roman" w:ascii="Times New Roman" w:hAnsi="Times New Roman"/>
        </w:rPr>
        <w:t>Seller</w:t>
      </w:r>
      <w:r>
        <w:rPr>
          <w:rFonts w:cs="WP TypographicSymbols" w:ascii="WP TypographicSymbols" w:hAnsi="WP TypographicSymbols"/>
        </w:rPr>
        <w:t>@</w:t>
      </w:r>
      <w:r>
        <w:rPr>
          <w:rFonts w:cs="Times New Roman" w:ascii="Times New Roman" w:hAnsi="Times New Roman"/>
        </w:rPr>
        <w:t>)</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and</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t>NATIONAL FUEL GAS DISTRIBUTION CORPORATION (</w:t>
      </w:r>
      <w:r>
        <w:rPr>
          <w:rFonts w:cs="WP TypographicSymbols" w:ascii="WP TypographicSymbols" w:hAnsi="WP TypographicSymbols"/>
        </w:rPr>
        <w:t>A</w:t>
      </w:r>
      <w:r>
        <w:rPr>
          <w:rFonts w:cs="Times New Roman" w:ascii="Times New Roman" w:hAnsi="Times New Roman"/>
        </w:rPr>
        <w:t>Buyer</w:t>
      </w:r>
      <w:r>
        <w:rPr>
          <w:rFonts w:cs="WP TypographicSymbols" w:ascii="WP TypographicSymbols" w:hAnsi="WP TypographicSymbols"/>
        </w:rPr>
        <w:t>@</w:t>
      </w:r>
      <w:r>
        <w:rPr>
          <w:rFonts w:cs="Times New Roman" w:ascii="Times New Roman" w:hAnsi="Times New Roman"/>
        </w:rPr>
        <w: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I N D E X</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360" w:leader="none"/>
        </w:tabs>
        <w:jc w:val="both"/>
        <w:rPr/>
      </w:pPr>
      <w:r>
        <w:rPr>
          <w:rFonts w:cs="Times New Roman" w:ascii="Times New Roman" w:hAnsi="Times New Roman"/>
          <w:u w:val="single"/>
        </w:rPr>
        <w:t>ARTICLE</w:t>
      </w:r>
      <w:r>
        <w:rPr>
          <w:rFonts w:cs="Times New Roman" w:ascii="Times New Roman" w:hAnsi="Times New Roman"/>
        </w:rPr>
        <w:tab/>
      </w:r>
      <w:r>
        <w:rPr>
          <w:rFonts w:cs="Times New Roman" w:ascii="Times New Roman" w:hAnsi="Times New Roman"/>
          <w:u w:val="single"/>
        </w:rPr>
        <w:t>PAGE</w:t>
      </w:r>
    </w:p>
    <w:p>
      <w:pPr>
        <w:pStyle w:val="Normal"/>
        <w:widowControl/>
        <w:tabs>
          <w:tab w:val="clear" w:pos="720"/>
          <w:tab w:val="right" w:pos="9360" w:leader="none"/>
        </w:tabs>
        <w:jc w:val="both"/>
        <w:rPr>
          <w:rFonts w:ascii="Times New Roman" w:hAnsi="Times New Roman" w:cs="Times New Roman"/>
          <w:u w:val="single"/>
        </w:rPr>
      </w:pPr>
      <w:r>
        <w:rPr>
          <w:rFonts w:cs="Times New Roman" w:ascii="Times New Roman" w:hAnsi="Times New Roman"/>
          <w:u w:val="single"/>
        </w:rPr>
      </w:r>
    </w:p>
    <w:sdt>
      <w:sdtPr>
        <w:docPartObj>
          <w:docPartGallery w:val="Table of Contents"/>
          <w:docPartUnique w:val="true"/>
        </w:docPartObj>
      </w:sdtPr>
      <w:sdtContent>
        <w:p>
          <w:pPr>
            <w:pStyle w:val="TOC1"/>
            <w:tabs>
              <w:tab w:val="clear" w:pos="720"/>
              <w:tab w:val="left" w:pos="1080" w:leader="none"/>
              <w:tab w:val="right" w:pos="9350" w:leader="dot"/>
            </w:tabs>
            <w:jc w:val="start"/>
            <w:rPr/>
          </w:pPr>
          <w:r>
            <w:fldChar w:fldCharType="begin"/>
          </w:r>
          <w:r>
            <w:rPr/>
            <w:instrText xml:space="preserve"> TOC \o "1-1" \f </w:instrText>
          </w:r>
          <w:r>
            <w:rPr/>
            <w:fldChar w:fldCharType="separate"/>
          </w:r>
          <w:r>
            <w:rPr/>
            <w:t>I.</w:t>
            <w:tab/>
            <w:t>Definitions</w:t>
            <w:tab/>
            <w:t>1</w:t>
          </w:r>
        </w:p>
        <w:p>
          <w:pPr>
            <w:pStyle w:val="TOC1"/>
            <w:tabs>
              <w:tab w:val="clear" w:pos="720"/>
              <w:tab w:val="left" w:pos="1080" w:leader="none"/>
              <w:tab w:val="right" w:pos="9350" w:leader="dot"/>
            </w:tabs>
            <w:jc w:val="start"/>
            <w:rPr/>
          </w:pPr>
          <w:r>
            <w:rPr/>
            <w:t>II.</w:t>
            <w:tab/>
            <w:t>Procedures</w:t>
            <w:tab/>
            <w:t xml:space="preserve">4 </w:t>
          </w:r>
        </w:p>
        <w:p>
          <w:pPr>
            <w:pStyle w:val="TOC1"/>
            <w:tabs>
              <w:tab w:val="clear" w:pos="720"/>
              <w:tab w:val="left" w:pos="1080" w:leader="none"/>
              <w:tab w:val="right" w:pos="9350" w:leader="dot"/>
            </w:tabs>
            <w:jc w:val="start"/>
            <w:rPr/>
          </w:pPr>
          <w:r>
            <w:rPr/>
            <w:t>III.</w:t>
            <w:tab/>
            <w:t>Quantity of Gas</w:t>
            <w:tab/>
          </w:r>
          <w:hyperlink w:anchor="__RefHeading___Toc489769267">
            <w:r>
              <w:rPr>
                <w:rStyle w:val="IndexLink"/>
              </w:rPr>
              <w:t>4</w:t>
            </w:r>
          </w:hyperlink>
        </w:p>
        <w:p>
          <w:pPr>
            <w:pStyle w:val="TOC1"/>
            <w:tabs>
              <w:tab w:val="clear" w:pos="720"/>
              <w:tab w:val="left" w:pos="1080" w:leader="none"/>
              <w:tab w:val="right" w:pos="9350" w:leader="dot"/>
            </w:tabs>
            <w:jc w:val="start"/>
            <w:rPr/>
          </w:pPr>
          <w:r>
            <w:rPr/>
            <w:t>IV.</w:t>
            <w:tab/>
            <w:t>Points of Receipt</w:t>
            <w:tab/>
          </w:r>
          <w:hyperlink w:anchor="__RefHeading___Toc489769268">
            <w:r>
              <w:rPr>
                <w:rStyle w:val="IndexLink"/>
              </w:rPr>
              <w:t>5</w:t>
            </w:r>
          </w:hyperlink>
        </w:p>
        <w:p>
          <w:pPr>
            <w:pStyle w:val="TOC1"/>
            <w:tabs>
              <w:tab w:val="clear" w:pos="720"/>
              <w:tab w:val="left" w:pos="1080" w:leader="none"/>
              <w:tab w:val="right" w:pos="9350" w:leader="dot"/>
            </w:tabs>
            <w:jc w:val="start"/>
            <w:rPr/>
          </w:pPr>
          <w:r>
            <w:rPr/>
            <w:t>V.</w:t>
            <w:tab/>
            <w:t>Pressure, Measurement and Measuring Stations</w:t>
            <w:tab/>
          </w:r>
          <w:hyperlink w:anchor="__RefHeading___Toc489769269">
            <w:r>
              <w:rPr>
                <w:rStyle w:val="IndexLink"/>
              </w:rPr>
              <w:t>6</w:t>
            </w:r>
          </w:hyperlink>
        </w:p>
        <w:p>
          <w:pPr>
            <w:pStyle w:val="TOC1"/>
            <w:tabs>
              <w:tab w:val="clear" w:pos="720"/>
              <w:tab w:val="left" w:pos="1080" w:leader="none"/>
              <w:tab w:val="right" w:pos="9350" w:leader="dot"/>
            </w:tabs>
            <w:jc w:val="start"/>
            <w:rPr/>
          </w:pPr>
          <w:r>
            <w:rPr/>
            <w:t>VI.</w:t>
            <w:tab/>
            <w:t>Quality of Gas</w:t>
            <w:tab/>
          </w:r>
          <w:hyperlink w:anchor="__RefHeading___Toc489769270">
            <w:r>
              <w:rPr>
                <w:rStyle w:val="IndexLink"/>
              </w:rPr>
              <w:t>7</w:t>
            </w:r>
          </w:hyperlink>
        </w:p>
        <w:p>
          <w:pPr>
            <w:pStyle w:val="TOC1"/>
            <w:tabs>
              <w:tab w:val="clear" w:pos="720"/>
              <w:tab w:val="left" w:pos="1080" w:leader="none"/>
              <w:tab w:val="right" w:pos="9350" w:leader="dot"/>
            </w:tabs>
            <w:jc w:val="start"/>
            <w:rPr/>
          </w:pPr>
          <w:r>
            <w:rPr/>
            <w:t>VII.</w:t>
            <w:tab/>
            <w:t>Price</w:t>
            <w:tab/>
          </w:r>
          <w:hyperlink w:anchor="__RefHeading___Toc489769271">
            <w:r>
              <w:rPr>
                <w:rStyle w:val="IndexLink"/>
              </w:rPr>
              <w:t>7</w:t>
            </w:r>
          </w:hyperlink>
        </w:p>
        <w:p>
          <w:pPr>
            <w:pStyle w:val="TOC1"/>
            <w:tabs>
              <w:tab w:val="clear" w:pos="720"/>
              <w:tab w:val="left" w:pos="1080" w:leader="none"/>
              <w:tab w:val="right" w:pos="9350" w:leader="dot"/>
            </w:tabs>
            <w:jc w:val="start"/>
            <w:rPr/>
          </w:pPr>
          <w:r>
            <w:rPr/>
            <w:t>VIII.</w:t>
            <w:tab/>
            <w:t>Billing</w:t>
            <w:tab/>
          </w:r>
          <w:hyperlink w:anchor="__RefHeading___Toc489769272">
            <w:r>
              <w:rPr>
                <w:rStyle w:val="IndexLink"/>
              </w:rPr>
              <w:t>8</w:t>
            </w:r>
          </w:hyperlink>
        </w:p>
        <w:p>
          <w:pPr>
            <w:pStyle w:val="TOC1"/>
            <w:tabs>
              <w:tab w:val="clear" w:pos="720"/>
              <w:tab w:val="left" w:pos="1080" w:leader="none"/>
              <w:tab w:val="right" w:pos="9350" w:leader="dot"/>
            </w:tabs>
            <w:jc w:val="start"/>
            <w:rPr/>
          </w:pPr>
          <w:r>
            <w:rPr/>
            <w:t>IX.</w:t>
            <w:tab/>
          </w:r>
          <w:r>
            <w:rPr>
              <w:u w:val="single"/>
            </w:rPr>
            <w:t>Force</w:t>
          </w:r>
          <w:r>
            <w:rPr/>
            <w:t xml:space="preserve"> </w:t>
          </w:r>
          <w:r>
            <w:rPr>
              <w:u w:val="single"/>
            </w:rPr>
            <w:t>Majeure</w:t>
          </w:r>
          <w:r>
            <w:rPr/>
            <w:tab/>
          </w:r>
          <w:hyperlink w:anchor="__RefHeading___Toc489769273">
            <w:r>
              <w:rPr>
                <w:rStyle w:val="IndexLink"/>
              </w:rPr>
              <w:t>10</w:t>
            </w:r>
          </w:hyperlink>
        </w:p>
        <w:p>
          <w:pPr>
            <w:pStyle w:val="TOC1"/>
            <w:tabs>
              <w:tab w:val="clear" w:pos="720"/>
              <w:tab w:val="left" w:pos="1080" w:leader="none"/>
              <w:tab w:val="right" w:pos="9350" w:leader="dot"/>
            </w:tabs>
            <w:jc w:val="start"/>
            <w:rPr/>
          </w:pPr>
          <w:r>
            <w:rPr/>
            <w:t>X.</w:t>
            <w:tab/>
            <w:t>Default or Termination</w:t>
            <w:tab/>
          </w:r>
          <w:hyperlink w:anchor="__RefHeading___Toc489769274">
            <w:r>
              <w:rPr>
                <w:rStyle w:val="IndexLink"/>
              </w:rPr>
              <w:t>11</w:t>
            </w:r>
          </w:hyperlink>
        </w:p>
        <w:p>
          <w:pPr>
            <w:pStyle w:val="TOC1"/>
            <w:tabs>
              <w:tab w:val="clear" w:pos="720"/>
              <w:tab w:val="left" w:pos="1080" w:leader="none"/>
              <w:tab w:val="right" w:pos="9350" w:leader="dot"/>
            </w:tabs>
            <w:jc w:val="start"/>
            <w:rPr/>
          </w:pPr>
          <w:r>
            <w:rPr/>
            <w:t>XI.</w:t>
            <w:tab/>
            <w:t>Term</w:t>
            <w:tab/>
          </w:r>
          <w:hyperlink w:anchor="__RefHeading___Toc489769275">
            <w:r>
              <w:rPr>
                <w:rStyle w:val="IndexLink"/>
              </w:rPr>
              <w:t>13</w:t>
            </w:r>
          </w:hyperlink>
        </w:p>
        <w:p>
          <w:pPr>
            <w:pStyle w:val="TOC1"/>
            <w:tabs>
              <w:tab w:val="clear" w:pos="720"/>
              <w:tab w:val="left" w:pos="1080" w:leader="none"/>
              <w:tab w:val="right" w:pos="9350" w:leader="dot"/>
            </w:tabs>
            <w:jc w:val="start"/>
            <w:rPr/>
          </w:pPr>
          <w:r>
            <w:rPr/>
            <w:t>XII.</w:t>
            <w:tab/>
            <w:t>Warranty of Title and Deliverability</w:t>
            <w:tab/>
          </w:r>
          <w:hyperlink w:anchor="__RefHeading___Toc489769276">
            <w:r>
              <w:rPr>
                <w:rStyle w:val="IndexLink"/>
              </w:rPr>
              <w:t>13</w:t>
            </w:r>
          </w:hyperlink>
        </w:p>
        <w:p>
          <w:pPr>
            <w:pStyle w:val="TOC1"/>
            <w:tabs>
              <w:tab w:val="clear" w:pos="720"/>
              <w:tab w:val="left" w:pos="1080" w:leader="none"/>
              <w:tab w:val="right" w:pos="9350" w:leader="dot"/>
            </w:tabs>
            <w:jc w:val="start"/>
            <w:rPr/>
          </w:pPr>
          <w:r>
            <w:rPr/>
            <w:t>XIII.</w:t>
            <w:tab/>
            <w:t>Regulatory Authorities</w:t>
            <w:tab/>
          </w:r>
          <w:hyperlink w:anchor="__RefHeading___Toc489769277">
            <w:r>
              <w:rPr>
                <w:rStyle w:val="IndexLink"/>
              </w:rPr>
              <w:t>16</w:t>
            </w:r>
          </w:hyperlink>
        </w:p>
        <w:p>
          <w:pPr>
            <w:pStyle w:val="TOC1"/>
            <w:tabs>
              <w:tab w:val="clear" w:pos="720"/>
              <w:tab w:val="left" w:pos="1080" w:leader="none"/>
              <w:tab w:val="right" w:pos="9350" w:leader="dot"/>
            </w:tabs>
            <w:jc w:val="start"/>
            <w:rPr/>
          </w:pPr>
          <w:r>
            <w:rPr/>
            <w:t>XIV.</w:t>
            <w:tab/>
            <w:t>Arbitration</w:t>
            <w:tab/>
          </w:r>
          <w:hyperlink w:anchor="__RefHeading___Toc489769278">
            <w:r>
              <w:rPr>
                <w:rStyle w:val="IndexLink"/>
              </w:rPr>
              <w:t>17</w:t>
            </w:r>
          </w:hyperlink>
        </w:p>
        <w:p>
          <w:pPr>
            <w:pStyle w:val="TOC1"/>
            <w:tabs>
              <w:tab w:val="clear" w:pos="720"/>
              <w:tab w:val="left" w:pos="1080" w:leader="none"/>
              <w:tab w:val="right" w:pos="9350" w:leader="dot"/>
            </w:tabs>
            <w:jc w:val="start"/>
            <w:rPr/>
          </w:pPr>
          <w:r>
            <w:rPr/>
            <w:t>XV.</w:t>
            <w:tab/>
            <w:t>Notices and Addresses</w:t>
            <w:tab/>
          </w:r>
          <w:hyperlink w:anchor="__RefHeading___Toc489769279">
            <w:r>
              <w:rPr>
                <w:rStyle w:val="IndexLink"/>
              </w:rPr>
              <w:t>20</w:t>
            </w:r>
          </w:hyperlink>
        </w:p>
        <w:p>
          <w:pPr>
            <w:pStyle w:val="TOC1"/>
            <w:tabs>
              <w:tab w:val="clear" w:pos="720"/>
              <w:tab w:val="left" w:pos="1080" w:leader="none"/>
              <w:tab w:val="right" w:pos="9350" w:leader="dot"/>
            </w:tabs>
            <w:jc w:val="start"/>
            <w:rPr/>
          </w:pPr>
          <w:r>
            <w:rPr/>
            <w:t>XVI.</w:t>
            <w:tab/>
            <w:t>Confidentiality</w:t>
            <w:tab/>
          </w:r>
          <w:hyperlink w:anchor="__RefHeading___Toc489769280">
            <w:r>
              <w:rPr>
                <w:rStyle w:val="IndexLink"/>
              </w:rPr>
              <w:t>20</w:t>
            </w:r>
          </w:hyperlink>
        </w:p>
        <w:p>
          <w:pPr>
            <w:pStyle w:val="TOC1"/>
            <w:tabs>
              <w:tab w:val="clear" w:pos="720"/>
              <w:tab w:val="left" w:pos="1080" w:leader="none"/>
              <w:tab w:val="right" w:pos="9350" w:leader="dot"/>
            </w:tabs>
            <w:jc w:val="start"/>
            <w:rPr/>
          </w:pPr>
          <w:r>
            <w:rPr/>
            <w:t>XVII.</w:t>
            <w:tab/>
            <w:t>Miscellaneous</w:t>
            <w:tab/>
          </w:r>
          <w:hyperlink w:anchor="__RefHeading___Toc489769281">
            <w:r>
              <w:rPr>
                <w:rStyle w:val="IndexLink"/>
              </w:rPr>
              <w:t>21</w:t>
            </w:r>
          </w:hyperlink>
        </w:p>
        <w:p>
          <w:pPr>
            <w:pStyle w:val="TOC1"/>
            <w:tabs>
              <w:tab w:val="clear" w:pos="720"/>
              <w:tab w:val="left" w:pos="1080" w:leader="none"/>
              <w:tab w:val="right" w:pos="9350" w:leader="dot"/>
            </w:tabs>
            <w:jc w:val="start"/>
            <w:rPr/>
          </w:pPr>
          <w:r>
            <w:rPr/>
            <w:t>Exhibit A</w:t>
            <w:tab/>
            <w:tab/>
            <w:t>24</w:t>
          </w:r>
          <w:r>
            <w:rPr/>
            <w:fldChar w:fldCharType="end"/>
          </w:r>
        </w:p>
      </w:sdtContent>
    </w:sdt>
    <w:p>
      <w:pPr>
        <w:sectPr>
          <w:footerReference w:type="default" r:id="rId3"/>
          <w:footerReference w:type="first" r:id="rId4"/>
          <w:type w:val="nextPage"/>
          <w:pgSz w:w="12240" w:h="15840"/>
          <w:pgMar w:left="1440" w:right="1440" w:gutter="0" w:header="0" w:top="1440" w:footer="576" w:bottom="632"/>
          <w:pgNumType w:fmt="decimal"/>
          <w:formProt w:val="false"/>
          <w:vAlign w:val="center"/>
          <w:textDirection w:val="lrTb"/>
          <w:docGrid w:type="default" w:linePitch="360" w:charSpace="0"/>
        </w:sectPr>
        <w:pStyle w:val="Normal"/>
        <w:widowControl/>
        <w:numPr>
          <w:ilvl w:val="0"/>
          <w:numId w:val="0"/>
        </w:numPr>
        <w:tabs>
          <w:tab w:val="clear" w:pos="720"/>
          <w:tab w:val="left" w:pos="1080" w:leader="none"/>
          <w:tab w:val="right" w:pos="9360" w:leader="none"/>
        </w:tabs>
        <w:spacing w:lineRule="auto" w:line="360"/>
        <w:outlineLvl w:val="0"/>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rPr>
          <w:rFonts w:ascii="Times New Roman" w:hAnsi="Times New Roman" w:cs="Times New Roman"/>
        </w:rPr>
      </w:pPr>
      <w:r>
        <w:rPr>
          <w:rFonts w:cs="Times New Roman" w:ascii="Times New Roman" w:hAnsi="Times New Roman"/>
        </w:rPr>
        <w:tab/>
      </w:r>
      <w:r>
        <w:rPr>
          <w:rFonts w:cs="Times New Roman" w:ascii="Times New Roman" w:hAnsi="Times New Roman"/>
          <w:u w:val="single"/>
        </w:rPr>
        <w:t>MASTER GAS PURCHASE CONTRACT</w:t>
      </w:r>
    </w:p>
    <w:p>
      <w:pPr>
        <w:pStyle w:val="Normal"/>
        <w:widowControl/>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THIS MASTER GAS PURCHASE CONTRACT is made and entered into this 1st day of _____________, 200_, by and between ___________________, hereinafter referred to as “Seller”, and NATIONAL FUEL GAS DISTRIBUTION CORPORATION, hereinafter referred to as “Buyer”.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WHEREAS, Seller has a supply of natural gas which Seller desires to sell; and</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WHEREAS, Seller may offer to sell natural gas on a Term Basis to Buyer from time-to-time; and</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WHEREAS, Buyer may desire to purchase natural gas on a Term Basis from Seller from time-to-time.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NOW, THEREFORE, in consideration of the premises and the mutual covenants and agreements herein set forth, Buyer and Seller do hereby covenant and agree that any agreements for the sale and purchase of Term Gas between Buyer and Seller, shall be governed by the following Terms and Conditions: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I.</w:t>
      </w:r>
    </w:p>
    <w:p>
      <w:pPr>
        <w:pStyle w:val="TOC1"/>
        <w:rPr/>
      </w:pPr>
      <w:r>
        <w:rPr/>
        <w:t>DEFINITIONS</w:t>
      </w:r>
    </w:p>
    <w:p>
      <w:pPr>
        <w:pStyle w:val="BodyTextIndent"/>
        <w:rPr/>
      </w:pPr>
      <w:r>
        <w:rPr/>
        <w:t>Except where the context otherwise indicates or requires another or different meaning or intent, the following terms as used herein shall have the meanings set forth below:</w:t>
      </w:r>
    </w:p>
    <w:p>
      <w:pPr>
        <w:pStyle w:val="BodyTextIndent"/>
        <w:rPr/>
      </w:pPr>
      <w:r>
        <w:rPr/>
        <w:t>1.01</w:t>
        <w:tab/>
        <w:t>The term “Contract” shall mean the Terms and Conditions for the sale and purchase of Term Gas between Buyer and Seller set out in this MASTER GAS PURCHASE CONTRACT and any effective Exhibit A, as such is defined below.</w:t>
      </w:r>
    </w:p>
    <w:p>
      <w:pPr>
        <w:sectPr>
          <w:footerReference w:type="default" r:id="rId5"/>
          <w:footerReference w:type="first" r:id="rId6"/>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1.02</w:t>
        <w:tab/>
        <w:t>The term “Master Gas Purchase Contract” shall mean the general terms and conditions specified herein, without respect to any specific terms described on any Exhibit A.</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1.03</w:t>
        <w:tab/>
        <w:t>The term “Exhibit A” shall mean the transaction confirmation (in the form as attached hereto) that will occur under this Contract for the sale and purchase of Term Gas between Buyer and Seller which shall set out additional specific terms of any sale and purchase hereunder.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1.04</w:t>
        <w:tab/>
        <w:t>The term “day” shall mean “gas day” which, as defined by the Gas Industry Standards Board (“GISB”), shall mean a period of twenty-four (24) consecutive hours beginning and ending at nine o'clock a.m. Central Time.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1.05</w:t>
        <w:tab/>
        <w:t>The term “month” shall mean a period beginning at nine o'clock a.m. Central Time on the first day of a calendar month and ending at nine o'clock a.m. Central Time on the first day of the next succeeding calendar month.</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1.06</w:t>
        <w:tab/>
        <w:t>The term “gas” shall mean natural gas, including both gas well gas and casinghead gas, and the residue gas therefrom.</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1.07</w:t>
        <w:tab/>
        <w:t>The term “Dth” shall refer to a quantity of gas equivalent to one million British Thermal Units.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1.08</w:t>
        <w:tab/>
        <w:t>The term “British Thermal Unit” or “Btu” shall have the meaning ascribed to it by the Transporter.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1.09</w:t>
        <w:tab/>
        <w:t>The term “Transporter” shall mean the pipeline(s) identified in Exhibit A or any other mutually agreeable pipeline used to deliver gas hereunder including National Fuel Gas Supply Corporation.</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1.10</w:t>
        <w:tab/>
        <w:t>The term “Buyer's Firm Transportation Agreements” shall refer to Buyer's effective firm transportation agreements with Transporter as amended from time-to-time.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1.11</w:t>
        <w:tab/>
        <w:t>The term “Maximum Contract Quantity” (or “MCQ”) shall mean the maximum quantity of gas under this Contract at any time and shall not exceed ________ Dth per day during the term of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1.12</w:t>
        <w:tab/>
        <w:t>The term “Daily Transaction Quantity” (“DTQ”) shall mean the maximum quantity of gas which Seller has agreed to sell to Buyer and Buyer has agreed to buy from Seller on a daily basis under any transaction and shall be identified on each effective Exhibit A.</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1.13</w:t>
        <w:tab/>
        <w:t xml:space="preserve">The term “Daily Nominated Quantity” (or “DNQ”) shall mean the quantity of gas as provided in Section 3.02, that Buyer notifies Seller that Buyer desires to purchase and receive on each day at the Points of Receipt as defined herein. </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1.14</w:t>
        <w:tab/>
        <w:t>The term “DNQ Designation Date” shall mean two (2) business days before the time of day each month that monthly nominations are due on Transporter.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1.15</w:t>
        <w:tab/>
        <w:t>The term “Term Gas” shall refer to the firm gas supplies contracted for hereunder by Buyer and Seller.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1.16</w:t>
        <w:tab/>
        <w:t>The term “Term Basis” shall mean firm gas supplies contracted for hereunder on a multi-month basis.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1.17</w:t>
        <w:tab/>
        <w:t>The term “Points of Receipt” or “Receipt Points” shall mean the available capacity at specific Receipt Point(s) on Transporter at which gas shall be delivered hereunder to Transporter, which quantity and points Buyer will identify in Exhibit A.</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1.18</w:t>
        <w:tab/>
        <w:t>The term “FERC” shall mean the Federal Energy Regulatory Commission or any successor governmental authority.</w:t>
      </w:r>
    </w:p>
    <w:p>
      <w:pPr>
        <w:sectPr>
          <w:type w:val="continuous"/>
          <w:pgSz w:w="12240" w:h="15840"/>
          <w:pgMar w:left="1440" w:right="1440" w:gutter="0" w:header="0" w:top="1440" w:footer="1440" w:bottom="1496"/>
          <w:formProt w:val="false"/>
          <w:textDirection w:val="lrTb"/>
          <w:docGrid w:type="default" w:linePitch="360" w:charSpace="0"/>
        </w:sectPr>
      </w:pPr>
    </w:p>
    <w:p>
      <w:pPr>
        <w:pStyle w:val="TOC1"/>
        <w:rPr/>
      </w:pPr>
      <w:r>
        <w:rPr/>
        <w:t>II.</w:t>
      </w:r>
    </w:p>
    <w:p>
      <w:pPr>
        <w:pStyle w:val="TOC1"/>
        <w:rPr/>
      </w:pPr>
      <w:r>
        <w:rPr/>
        <w:t>PROCEDURES</w:t>
      </w:r>
    </w:p>
    <w:p>
      <w:pPr>
        <w:pStyle w:val="Normal"/>
        <w:keepLines/>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2.01</w:t>
        <w:tab/>
        <w:t>Upon entering into an agreement from time-to-time for the purchase of Term Gas hereunder, the parties shall use the following procedure.  Buyer shall fax to Seller an Exhibit A which documents the specific information regarding the purchase.  The Exhibit A shall be signed and returned to Buyer within five (5) business days.</w:t>
      </w:r>
    </w:p>
    <w:p>
      <w:pPr>
        <w:pStyle w:val="BodyTextIndent"/>
        <w:rPr/>
      </w:pPr>
      <w:r>
        <w:rPr/>
        <w:t>2.02</w:t>
        <w:tab/>
        <w:t>The entire agreement between the parties for any purchase hereunder shall be the provisions contained in both the Master Gas Purchase Contract and the effective Exhibit A for such purchase.  In the event of a conflict among the terms of the Master Gas Purchase Contract and the Exhibit A, the Exhibit A shall govern, except for any conflict which affects the “MCQ”, in that case the Master Gas Purchase Contract governs.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III.</w:t>
      </w:r>
    </w:p>
    <w:p>
      <w:pPr>
        <w:pStyle w:val="TOC1"/>
        <w:rPr/>
      </w:pPr>
      <w:r>
        <w:rPr/>
        <w:t>QUANTITY OF GAS</w:t>
      </w:r>
      <w:r>
        <w:fldChar w:fldCharType="begin"/>
      </w:r>
      <w:r>
        <w:rPr/>
        <w:instrText xml:space="preserve"> TC "</w:instrText>
        <w:tab/>
        <w:instrText xml:space="preserve">III.</w:instrText>
        <w:tab/>
        <w:instrText xml:space="preserve">QUANTITY OF GAS" \l 1 </w:instrText>
      </w:r>
      <w:r>
        <w:rPr/>
        <w:fldChar w:fldCharType="separate"/>
      </w:r>
      <w:r>
        <w:rPr/>
      </w:r>
      <w:r>
        <w:rPr/>
        <w:fldChar w:fldCharType="end"/>
      </w:r>
      <w:bookmarkStart w:id="0" w:name="__RefHeading___Toc489769267"/>
      <w:bookmarkEnd w:id="0"/>
    </w:p>
    <w:p>
      <w:pPr>
        <w:pStyle w:val="Normal"/>
        <w:keepLines/>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3.01</w:t>
        <w:tab/>
        <w:t xml:space="preserve">Subject to Sections 12.02 and 12.03, Seller shall make available for delivery to Buyer on each day during the term hereof, at one or more of the Points of Receipt as specified in the effective Exhibit A(s), a quantity of gas which, equals the Daily Nominated Quantity in accordance with Section 3.02. </w:t>
      </w:r>
    </w:p>
    <w:p>
      <w:pPr>
        <w:sect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3.02</w:t>
        <w:tab/>
        <w:t>At least by the DNQ Designation Date, Buyer shall notify Seller orally, to be confirmed thereafter in writing as to the quantity of gas, between zero (0) and one hundred percent (100%) of the Daily Transaction Quantity, that Buyer desires to purchase from Seller during the month.  Buyer shall take delivery of, and pay Seller for, the Daily Nominated Quantity in accordance with the provisions of Articles VII and VIII hereof.</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3.03</w:t>
        <w:tab/>
        <w:t>Buyer may request a decrease in the daily quantity of gas it desires to receive from Seller, in an amount between zero (0) and up to one hundred percent (100%) of the Daily Nominated Quantity at any time after the DNQ Designation Date, as allowed by Transporter</w:t>
      </w:r>
      <w:r>
        <w:rPr>
          <w:rFonts w:cs="WP TypographicSymbols" w:ascii="WP TypographicSymbols" w:hAnsi="WP TypographicSymbols"/>
        </w:rPr>
        <w:t>=</w:t>
      </w:r>
      <w:r>
        <w:rPr>
          <w:rFonts w:cs="Times New Roman" w:ascii="Times New Roman" w:hAnsi="Times New Roman"/>
        </w:rPr>
        <w:t>s FERC gas tariff, by notifying Seller in accordance with Article XV of this Contract at least 24 hours before the date on which Buyer desires such change to be effective; provided, however, Buyer shall adjust the Gas Commodity Charge owed to Seller to the extent necessary, as provided in Section 7.02 of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3.04</w:t>
        <w:tab/>
        <w:t>Buyer may request from time-to-time that Seller deliver quantities of gas to Buyer in excess of the Daily Nominated Quantity then in effect pursuant to the latest effective notice from Buyer hereunder, provided, however, that:  (i) Seller shall not be obligated to deliver on any day a quantity of gas in excess of the effective Daily Nominated Quantity; and (ii) the price to be paid by Buyer to Seller for such excess quantities shall be subject to negotiation between Buyer and Seller at the time such requests are made by Buyer.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IV.</w:t>
      </w:r>
    </w:p>
    <w:p>
      <w:pPr>
        <w:pStyle w:val="TOC1"/>
        <w:rPr/>
      </w:pPr>
      <w:r>
        <w:rPr/>
        <w:t xml:space="preserve">POINTS OF RECEIPT </w:t>
      </w:r>
      <w:r>
        <w:fldChar w:fldCharType="begin"/>
      </w:r>
      <w:r>
        <w:rPr/>
        <w:instrText xml:space="preserve"> TC "</w:instrText>
        <w:tab/>
        <w:instrText xml:space="preserve">IV.</w:instrText>
        <w:tab/>
        <w:instrText xml:space="preserve">POINTS OF RECEIPT " \l 1 </w:instrText>
      </w:r>
      <w:r>
        <w:rPr/>
        <w:fldChar w:fldCharType="separate"/>
      </w:r>
      <w:r>
        <w:rPr/>
      </w:r>
      <w:r>
        <w:rPr/>
        <w:fldChar w:fldCharType="end"/>
      </w:r>
      <w:bookmarkStart w:id="1" w:name="__RefHeading___Toc489769268"/>
      <w:bookmarkEnd w:id="1"/>
    </w:p>
    <w:p>
      <w:pPr>
        <w:pStyle w:val="Normal"/>
        <w:keepLines/>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4.01</w:t>
        <w:tab/>
        <w:t xml:space="preserve">The location(s) of the Points of Receipt, and the maximum available capacity at each Point of Receipt, shall be as set forth on the effective Exhibit A.  </w:t>
      </w:r>
    </w:p>
    <w:p>
      <w:pPr>
        <w:sect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4.02</w:t>
        <w:tab/>
        <w:t>As between the parties hereto, Seller shall be in exclusive control and possession of the gas deliverable hereunder and responsible for risk of loss or any damage or injury caused thereby until the same shall have been delivered to Buyer at the Receipt Points, after which delivery Buyer shall be deemed to be in exclusive control and possession thereof and responsible for any risk of loss, any injury or damage caused thereby.  Title to the gas delivered hereunder shall pass from Seller to Buyer at each Receipt Point.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4.03</w:t>
        <w:tab/>
        <w:t xml:space="preserve">It is not the intention of Seller or Buyer for specific leases or gas reserves to be committed or dedicated to Buyer under this Contract.  Accordingly, subject to Seller's Deliverability Warranty (as defined in Article XII hereof) and the occurrence of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events (as defined in Article IX hereof), Seller may deliver gas for Buyer's account, from such sources of supply and in such quantities as Seller, in its sole discretion, may determine; </w:t>
      </w:r>
      <w:r>
        <w:rPr>
          <w:rFonts w:cs="Times New Roman" w:ascii="Times New Roman" w:hAnsi="Times New Roman"/>
          <w:u w:val="single"/>
        </w:rPr>
        <w:t>provided further however, that</w:t>
      </w:r>
      <w:r>
        <w:rPr>
          <w:rFonts w:cs="Times New Roman" w:ascii="Times New Roman" w:hAnsi="Times New Roman"/>
        </w:rPr>
        <w:t xml:space="preserve"> Buyer shall not be required to accept deliveries from Seller at any Points of Receipt on any day during the term hereof, or collectively at all Points of Receipt hereunder, in excess of the Daily Nominated Quantity in effect on that day.</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V.</w:t>
      </w:r>
    </w:p>
    <w:p>
      <w:pPr>
        <w:pStyle w:val="TOC1"/>
        <w:rPr/>
      </w:pPr>
      <w:r>
        <w:rPr/>
        <w:t>PRESSURE, MEASUREMENT AND MEASURING STATIONS</w:t>
      </w:r>
      <w:r>
        <w:fldChar w:fldCharType="begin"/>
      </w:r>
      <w:r>
        <w:rPr/>
        <w:instrText xml:space="preserve"> TC "</w:instrText>
        <w:tab/>
        <w:instrText xml:space="preserve">V.</w:instrText>
        <w:tab/>
        <w:instrText xml:space="preserve">PRESSURE, MEASUREMENT AND MEASURING STATIONS" \l 1 </w:instrText>
      </w:r>
      <w:r>
        <w:rPr/>
        <w:fldChar w:fldCharType="separate"/>
      </w:r>
      <w:r>
        <w:rPr/>
      </w:r>
      <w:r>
        <w:rPr/>
        <w:fldChar w:fldCharType="end"/>
      </w:r>
      <w:bookmarkStart w:id="2" w:name="__RefHeading___Toc489769269"/>
      <w:bookmarkEnd w:id="2"/>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5.01</w:t>
        <w:tab/>
        <w:t>The gas to be delivered hereunder by Seller at the Points of Receipt shall be delivered at such pressure as may be necessary to effect the delivery of such gas into Transporter's system against the operating pressure as it exists on Transporter from time-to-time consistent with Transporter's FERC gas tariff, as applicable.</w:t>
      </w:r>
    </w:p>
    <w:p>
      <w:pPr>
        <w:sect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5.02</w:t>
        <w:tab/>
        <w:t>Seller shall report to Buyer, as often as requested by Buyer, the daily rate at which gas is being delivered hereunder.  Seller shall have agents or employees available at all times to receive from Buyer's and Transporter's employees, advice and requests for changes in the rates of delivery of gas hereunder as may be requested by Buyer from time-to-time.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5.03</w:t>
        <w:tab/>
        <w:t>For purposes of allocating and billing Buyer for gas delivered by Seller to Buyer hereunder, the quantities of gas delivered hereunder shall be determined by the metering equipment owned, operated and installed by Transporter receiving the gas at the Points of Receipt hereunder in accordance with the applicable provisions of Transporter's gas tariff in effect from time-to-time, if applicable.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5.04</w:t>
        <w:tab/>
        <w:t>Each party shall preserve for a period of at least two (2) years from the month of delivery, all test data, charts and other similar records regarding the measurement of gas delivered hereunder to the extent such information are part of the party</w:t>
      </w:r>
      <w:r>
        <w:rPr>
          <w:rFonts w:cs="WP TypographicSymbols" w:ascii="WP TypographicSymbols" w:hAnsi="WP TypographicSymbols"/>
        </w:rPr>
        <w:t>=</w:t>
      </w:r>
      <w:r>
        <w:rPr>
          <w:rFonts w:cs="Times New Roman" w:ascii="Times New Roman" w:hAnsi="Times New Roman"/>
        </w:rPr>
        <w:t>s records.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VI.</w:t>
      </w:r>
    </w:p>
    <w:p>
      <w:pPr>
        <w:pStyle w:val="TOC1"/>
        <w:rPr/>
      </w:pPr>
      <w:r>
        <w:rPr/>
        <w:t>QUALITY OF GAS</w:t>
      </w:r>
      <w:r>
        <w:fldChar w:fldCharType="begin"/>
      </w:r>
      <w:r>
        <w:rPr/>
        <w:instrText xml:space="preserve"> TC "</w:instrText>
        <w:tab/>
        <w:instrText xml:space="preserve">VI.</w:instrText>
        <w:tab/>
        <w:instrText xml:space="preserve">QUALITY OF GAS" \l 1 </w:instrText>
      </w:r>
      <w:r>
        <w:rPr/>
        <w:fldChar w:fldCharType="separate"/>
      </w:r>
      <w:r>
        <w:rPr/>
      </w:r>
      <w:r>
        <w:rPr/>
        <w:fldChar w:fldCharType="end"/>
      </w:r>
      <w:bookmarkStart w:id="3" w:name="__RefHeading___Toc489769270"/>
      <w:bookmarkEnd w:id="3"/>
    </w:p>
    <w:p>
      <w:pPr>
        <w:pStyle w:val="BodyTextIndent"/>
        <w:rPr/>
      </w:pPr>
      <w:r>
        <w:rPr/>
        <w:t>6.01</w:t>
        <w:tab/>
        <w:t>The gas delivered hereunder shall meet any and all gas quality requirements as provided by Transporter's FERC gas tariff, as such tariff is in effect from time-to-time, or as Buyer is otherwise specifically permitted by Transporter.  In the event that the gas tendered for delivery hereunder fails to meet any of the requirements necessary under Transporter's FERC tariff, Buyer shall have the right to refuse to accept any gas so tendered for the duration of time that the gas fails to meet those gas quality requirements.  Any gas refused by Buyer pursuant to this Section shall be considered gas not delivered and shall be treated as such pursuant to Section 12.03 herein.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VII.</w:t>
      </w:r>
    </w:p>
    <w:p>
      <w:pPr>
        <w:pStyle w:val="TOC1"/>
        <w:rPr/>
      </w:pPr>
      <w:r>
        <w:rPr/>
        <w:t>PRICE</w:t>
      </w:r>
      <w:r>
        <w:fldChar w:fldCharType="begin"/>
      </w:r>
      <w:r>
        <w:rPr/>
        <w:instrText xml:space="preserve"> TC "</w:instrText>
        <w:tab/>
        <w:instrText xml:space="preserve">VII.</w:instrText>
        <w:tab/>
        <w:instrText xml:space="preserve">PRICE" \l 1 </w:instrText>
      </w:r>
      <w:r>
        <w:rPr/>
        <w:fldChar w:fldCharType="separate"/>
      </w:r>
      <w:r>
        <w:rPr/>
      </w:r>
      <w:r>
        <w:rPr/>
        <w:fldChar w:fldCharType="end"/>
      </w:r>
      <w:bookmarkStart w:id="4" w:name="__RefHeading___Toc489769271"/>
      <w:bookmarkEnd w:id="4"/>
    </w:p>
    <w:p>
      <w:pPr>
        <w:pStyle w:val="BodyTextIndent2"/>
        <w:rPr/>
      </w:pPr>
      <w:r>
        <w:rPr/>
        <w:t>7.01</w:t>
        <w:tab/>
        <w:t>The Contract Price will be an amount expressed in U.S. dollars which shall include a Gas Commodity Charge which shall be equal to the product of all gas scheduled by Transporter hereunder during the preceding month, multiplied by the relevant gas commodity price per Dth and, if applicable, a Gas Demand Charge all of which shall be set forth in an effective Exhibit A for the purchase of gas under this Contract.</w:t>
      </w:r>
    </w:p>
    <w:p>
      <w:pPr>
        <w:pStyle w:val="BodyTextIndent"/>
        <w:rPr/>
      </w:pPr>
      <w:r>
        <w:rPr/>
        <w:t>7.02</w:t>
        <w:tab/>
        <w:t>To the extent Buyer purchases less than 100% of the DNQ on any day, for reasons other than force majeure, Buyer will pay Seller an adjusted dollar amount for such day(s) equal to the product of the quantity of gas not taken on any such day, multiplied by a gas cost per Dth which is equal to the difference, if positive, between:  (i) the relevant gas commodity price per Dth identified in the effective Exhibit A; less (ii) the Midpoint Price as described also in the effective Exhibit A for such day(s) of reduction.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VIII.</w:t>
      </w:r>
    </w:p>
    <w:p>
      <w:pPr>
        <w:pStyle w:val="TOC1"/>
        <w:rPr/>
      </w:pPr>
      <w:r>
        <w:rPr/>
        <w:t>BILLING</w:t>
      </w:r>
      <w:r>
        <w:fldChar w:fldCharType="begin"/>
      </w:r>
      <w:r>
        <w:rPr/>
        <w:instrText xml:space="preserve"> TC "</w:instrText>
        <w:tab/>
        <w:instrText xml:space="preserve">VIII.</w:instrText>
        <w:tab/>
        <w:instrText xml:space="preserve">BILLING" \l 1 </w:instrText>
      </w:r>
      <w:r>
        <w:rPr/>
        <w:fldChar w:fldCharType="separate"/>
      </w:r>
      <w:r>
        <w:rPr/>
      </w:r>
      <w:r>
        <w:rPr/>
        <w:fldChar w:fldCharType="end"/>
      </w:r>
      <w:bookmarkStart w:id="5" w:name="__RefHeading___Toc489769272"/>
      <w:bookmarkEnd w:id="5"/>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8.01</w:t>
        <w:tab/>
        <w:t>Buyer shall pay Seller by bank wire transfer or Automated Clearinghouse (</w:t>
      </w:r>
      <w:r>
        <w:rPr>
          <w:rFonts w:cs="WP TypographicSymbols" w:ascii="WP TypographicSymbols" w:hAnsi="WP TypographicSymbols"/>
        </w:rPr>
        <w:t>A</w:t>
      </w:r>
      <w:r>
        <w:rPr>
          <w:rFonts w:cs="Times New Roman" w:ascii="Times New Roman" w:hAnsi="Times New Roman"/>
        </w:rPr>
        <w:t>ACH</w:t>
      </w:r>
      <w:r>
        <w:rPr>
          <w:rFonts w:cs="WP TypographicSymbols" w:ascii="WP TypographicSymbols" w:hAnsi="WP TypographicSymbols"/>
        </w:rPr>
        <w:t>@</w:t>
      </w:r>
      <w:r>
        <w:rPr>
          <w:rFonts w:cs="Times New Roman" w:ascii="Times New Roman" w:hAnsi="Times New Roman"/>
        </w:rPr>
        <w:t xml:space="preserve">) by the later of ten (10) days after invoice date or the twenty-fifth (25th) day of the month following the month of delivery.  Seller's invoice shall reflect the Contract Price applicable to prior month, based on the quantities scheduled for transportation by Transporter pursuant to any effective Exhibit A(s).  Buyer shall pay in full the invoice based on such scheduled quantities without offset or counterclaim subject to any dispute as provided in Section 8.01(a),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as described in Article IX, and failure to deliver as described in Section 12.03 herein. </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Fonts w:cs="Times New Roman" w:ascii="Times New Roman" w:hAnsi="Times New Roman"/>
        </w:rPr>
        <w:t xml:space="preserve"> </w:t>
      </w:r>
      <w:r>
        <w:rPr>
          <w:rFonts w:cs="Times New Roman" w:ascii="Times New Roman" w:hAnsi="Times New Roman"/>
        </w:rPr>
        <w:tab/>
        <w:t>8.01 (a)</w:t>
        <w:tab/>
        <w:t xml:space="preserve">Should Buyer fail to pay the full invoiced amount due to Seller when the same is due, interest thereon shall accrue at the then effective “Prime Rate” of interest plus one percent (1%) as published under “Money Rates” by the </w:t>
      </w:r>
      <w:r>
        <w:rPr>
          <w:rFonts w:cs="Times New Roman" w:ascii="Times New Roman" w:hAnsi="Times New Roman"/>
          <w:u w:val="single"/>
        </w:rPr>
        <w:t>Wall Street Journal</w:t>
      </w:r>
      <w:r>
        <w:rPr>
          <w:rFonts w:cs="Times New Roman" w:ascii="Times New Roman" w:hAnsi="Times New Roman"/>
        </w:rPr>
        <w:t xml:space="preserve"> until the date such payment is made.  If such default in payment continues for sixty (60) days after payment was due, Seller may, at its election, to be exercised at any time default continues, in addition to all other remedies available to Seller under this Contract, on thirty (30) days notice to Buyer pursuant to Article XV, suspend deliveries of gas hereunder, and terminate the specific Exhibit A(s) under which such default has occurred; </w:t>
      </w:r>
      <w:r>
        <w:rPr>
          <w:rFonts w:cs="Times New Roman" w:ascii="Times New Roman" w:hAnsi="Times New Roman"/>
          <w:u w:val="single"/>
        </w:rPr>
        <w:t>provided however, that</w:t>
      </w:r>
      <w:r>
        <w:rPr>
          <w:rFonts w:cs="Times New Roman" w:ascii="Times New Roman" w:hAnsi="Times New Roman"/>
        </w:rPr>
        <w:t xml:space="preserve"> the provisions for suspending deliveries or terminating such specific Exhibit A(s) shall not apply if Buyer's refusal to pay is the result of a bona fide dispute and Buyer pays all amounts not in dispute in accordance with Section 8.01.  In addition, Buyer shall be obligated to provide Seller with a written explanation of such dispute, and with any documentation available within fifteen (15) days of the date payment was due.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8.01 (b)</w:t>
        <w:tab/>
        <w:t xml:space="preserve">Buyer and Seller understand that generally, actual quantities delivered should equal scheduled quantities absent a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 as provided in Article IX, or failure to deliver as provided in Section 12.03.  However, should actual quantities delivered to Buyer differ from the invoiced amount, Seller shall send Buyer a corrected invoice reflecting the actual quantities delivered and the total amount due Seller or the credit due Buyer.  Should actual quantities delivered fall short of the scheduled amount, Seller shall credit Buyer's account for the amount of overpayment plus interest determined in accordance with Section 8.01(a) herein.  Buyer shall have no obligation to pay for quantities delivered in excess of the Daily Nominated Quantity for such month which were not agreed to and confirmed in advance.  Any penalties, or “cash-out” charges associated with such over- or under-deliveries shall be the responsibility of the party which caused such penalty or cash out charges.  Each party shall reimburse the other, with interest as defined herein in Section 8.01(a), to the extent such party is billed for any charges for which the other is responsible.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8.01 (c)</w:t>
        <w:tab/>
        <w:t>To assist Seller in preparing invoices, Buyer shall send Seller by facsimile, promptly on Seller's request, copies of transportation invoices that Buyer or subsequent purchasers of the gas may have received from Transporter, together with copies of allocation statements that Buyer or subsequent purchasers of the gas may have furnished to Transporter.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8.02</w:t>
        <w:tab/>
        <w:t>Buyer and Seller shall have the right at reasonable hours to examine the books, records and charts of the other to the extent necessary to verify the accuracy of any statement, charge or computation made pursuant to any provision hereof.  Both parties shall be obligated to retain such books, records, and charts for two years from the month of delivery of quantities hereunder, consistent with Section 5.04.  In the event an error is discovered in the amount billed in any statement rendered by Seller, such error shall be adjusted within thirty (30) days of the determination provided that claim therefore shall have been made within six (6) months from the end of the month when the error occurred.  There shall be three (3) months for rebuttal by the other party.</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textDirection w:val="lrTb"/>
          <w:docGrid w:type="default" w:linePitch="360" w:charSpace="0"/>
        </w:sectPr>
      </w:pPr>
    </w:p>
    <w:p>
      <w:pPr>
        <w:pStyle w:val="TOC1"/>
        <w:rPr/>
      </w:pPr>
      <w:r>
        <w:rPr/>
        <w:t>IX.</w:t>
      </w:r>
    </w:p>
    <w:p>
      <w:pPr>
        <w:pStyle w:val="TOC1"/>
        <w:rPr/>
      </w:pPr>
      <w:r>
        <w:rPr/>
        <w:t>FORCE MAJEURE</w:t>
      </w:r>
      <w:r>
        <w:fldChar w:fldCharType="begin"/>
      </w:r>
      <w:r>
        <w:rPr/>
        <w:instrText xml:space="preserve"> TC "</w:instrText>
        <w:tab/>
        <w:instrText xml:space="preserve">IX.</w:instrText>
        <w:tab/>
        <w:instrText xml:space="preserve">FORCE MAJEURE" \l 1 </w:instrText>
      </w:r>
      <w:r>
        <w:rPr/>
        <w:fldChar w:fldCharType="separate"/>
      </w:r>
      <w:r>
        <w:rPr/>
      </w:r>
      <w:r>
        <w:rPr/>
        <w:fldChar w:fldCharType="end"/>
      </w:r>
      <w:bookmarkStart w:id="6" w:name="__RefHeading___Toc489769273"/>
      <w:bookmarkEnd w:id="6"/>
    </w:p>
    <w:p>
      <w:pPr>
        <w:pStyle w:val="Normal"/>
        <w:keepNext w:val="true"/>
        <w:keepLines/>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9.01</w:t>
        <w:tab/>
        <w:t xml:space="preserve">In the event either Buyer or Seller is rendered unable, in whole or in part, by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to carry out their respective obligations under this Contract, other than to make payments due hereunder, it is agreed that upon such party giving notice and reasonably full particulars of such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in writing or by facsimile to the other party as soon as practicable after the occurrence of the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 relied upon, the obligations of the party giving such notice, so far as they are affected by such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and subject to Section 12.02, shall be suspended during the continuance of any inability so caused but for no longer period, and such cause shall, as far as is reasonably practical, be remedied with all reasonable dispatch.</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9.02</w:t>
        <w:tab/>
        <w:t>The term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as employed herein shall mean acts of God, Governmental action, strikes, lockouts or other industrial disturbances, acts of the public enemy, wars, blockades, insurrections, riots, epidemics, landslides, lightning, earthquakes, fires, hurricanes, tornadoes, storms, storm warnings, floods, washouts, arrests and restraints of governments and people, civil disturbances, explosions, breakage or accidents to machinery or lines of pipe, the necessity for making repairs to or alterations of machinery or lines of pipe, freezing of wells or lines of pipe, the interruption of firm transportation by Transporter(s) including National Fuel Gas Supply Corporation, and any other causes, whether of the kind herein enumerated or otherwise, not within the control of the party claiming suspension and which by the exercise of due diligence such party is unable to prevent or overcome.  Force Majeure shall not include failure or disruption of technical systems or products within the reasonable control of the party claiming “force majeure” which arise as a result of the advent of the Year 2000 or any leap year. </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9.03</w:t>
        <w:tab/>
        <w:t xml:space="preserve">The settlement of strikes or lockouts shall be entirely within the discretion of the party having the difficulty, and the above requirement that any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 shall be remedied with all reasonable dispatch shall not require the settlement of strikes or lockouts by acceding to the demands of any opposing party when such course is inadvisable in the discretion of the party having the difficulty.</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X.</w:t>
      </w:r>
    </w:p>
    <w:p>
      <w:pPr>
        <w:pStyle w:val="TOC1"/>
        <w:rPr/>
      </w:pPr>
      <w:r>
        <w:rPr/>
        <w:t>DEFAULT OR TERMINATION</w:t>
      </w:r>
      <w:r>
        <w:fldChar w:fldCharType="begin"/>
      </w:r>
      <w:r>
        <w:rPr/>
        <w:instrText xml:space="preserve"> TC "</w:instrText>
        <w:tab/>
        <w:instrText xml:space="preserve">X.</w:instrText>
        <w:tab/>
        <w:instrText xml:space="preserve">DEFAULT OR TERMINATION" \l 1 </w:instrText>
      </w:r>
      <w:r>
        <w:rPr/>
        <w:fldChar w:fldCharType="separate"/>
      </w:r>
      <w:r>
        <w:rPr/>
      </w:r>
      <w:r>
        <w:rPr/>
        <w:fldChar w:fldCharType="end"/>
      </w:r>
      <w:bookmarkStart w:id="7" w:name="__RefHeading___Toc489769274"/>
      <w:bookmarkEnd w:id="7"/>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10.01</w:t>
        <w:tab/>
        <w:t xml:space="preserve">If, except during a </w:t>
      </w:r>
      <w:r>
        <w:rPr>
          <w:rFonts w:cs="Times New Roman" w:ascii="Times New Roman" w:hAnsi="Times New Roman"/>
          <w:u w:val="single"/>
        </w:rPr>
        <w:t>force majeure</w:t>
      </w:r>
      <w:r>
        <w:rPr>
          <w:rFonts w:cs="Times New Roman" w:ascii="Times New Roman" w:hAnsi="Times New Roman"/>
        </w:rPr>
        <w:t xml:space="preserve"> condition, either Buyer or Seller shall fail to perform any of the covenants or obligations imposed upon either party under the Contract, then the other party hereto may, at its option, terminate the specific effective Exhibit A(s) under which such nonperformance has occurred by causing written notice thereof to be served on the party in default, stating specifically the cause for termination and declaring it to be the intention of the party giving the notice to terminate the same.  Except as otherwise provided herein, upon receipt of such notice, the party in default shall have thirty (30) days after the service of the aforesaid notice in which to remedy or remove the cause or causes stated in the notice for terminating such Exhibit A(s), and if, within said period of thirty (30) days, the party in default does so remedy or remove said cause or causes and fully indemnifies the party not in default for any and all consequences of such breach, then such notice shall be deemed to have been withdrawn and the Exhibit A(s) shall continue in full force and effect.  If the party in default does not so remedy or remove the cause or causes or does not indemnify the party giving notice of breach for any and all consequences of such breach within said period of thirty (30) days, then, at the option of the party giving the notice, the affected Exhibit A(s) shall become null and void from and after the expiration of said 30-day period.  Any termination (either in whole or in part) of the Contract pursuant to this Article X, shall be without waiver of any remedy (whether at law or in equity) to which the party not in default otherwise may be entitled for breach of the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10.02</w:t>
        <w:tab/>
        <w:t xml:space="preserve">In the event any part of this Contract is terminated, such termination shall be without prejudice to any rights or obligations of the parties accruing prior to such termination, including but not limited to:  (i) Buyer's right to receive gas for which it has paid but has not </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t>received, although entitled thereto, prior to the time of termination; and (ii) Seller's right to collect any amounts then due Seller for gas delivered to Buyer prior to the time of such termination.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10.03</w:t>
        <w:tab/>
        <w:t xml:space="preserve">In addition to all other rights that may inure to Buyer under this Contract or otherwise, Buyer shall have the following right with respect to any part or the whole termination of this Contract.  Except in the case of a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 if Seller is in breach of its Delivery Warranty as defined in Article XII below for any three (3) days in a month, Buyer may terminate the effective Exhibit A(s) affected by such breach, on fifteen (15) days written notice.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XI.</w:t>
      </w:r>
    </w:p>
    <w:p>
      <w:pPr>
        <w:pStyle w:val="TOC1"/>
        <w:rPr/>
      </w:pPr>
      <w:r>
        <w:rPr>
          <w:u w:val="single"/>
        </w:rPr>
        <w:t>TERM</w:t>
      </w:r>
      <w:r>
        <w:fldChar w:fldCharType="begin"/>
      </w:r>
      <w:r>
        <w:rPr/>
        <w:instrText xml:space="preserve"> TC "</w:instrText>
        <w:tab/>
        <w:instrText xml:space="preserve">XI.</w:instrText>
        <w:tab/>
        <w:instrText xml:space="preserve">TERM" \l 1 </w:instrText>
      </w:r>
      <w:r>
        <w:rPr/>
        <w:fldChar w:fldCharType="separate"/>
      </w:r>
      <w:r>
        <w:rPr/>
      </w:r>
      <w:r>
        <w:rPr/>
        <w:fldChar w:fldCharType="end"/>
      </w:r>
      <w:bookmarkStart w:id="8" w:name="__RefHeading___Toc489769275"/>
      <w:bookmarkEnd w:id="8"/>
    </w:p>
    <w:p>
      <w:pPr>
        <w:sect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11.01</w:t>
        <w:tab/>
        <w:t>This Master Gas Purchase Contract may be terminated by either party on two (2) months written notice pursuant to Article XV.  In the event of such termination, however, the Contract shall remain in effect until the expiration of the last effective Exhibit A.  The term of any agreement for gas bought and sold hereunder shall be provided on an effective Exhibit A.  Any such term provided on an Exhibit A shall not exceed one (1) year.</w:t>
      </w:r>
    </w:p>
    <w:p>
      <w:pPr>
        <w:pStyle w:val="BodyTextIndent"/>
        <w:rPr/>
      </w:pPr>
      <w:r>
        <w:rPr/>
      </w:r>
    </w:p>
    <w:p>
      <w:pPr>
        <w:pStyle w:val="TOC1"/>
        <w:rPr/>
      </w:pPr>
      <w:r>
        <w:rPr/>
        <w:t>XII.</w:t>
      </w:r>
    </w:p>
    <w:p>
      <w:pPr>
        <w:pStyle w:val="TOC1"/>
        <w:rPr/>
      </w:pPr>
      <w:r>
        <w:rPr/>
        <w:t>WARRANTY OF TITLE AND DELIVERABILITY</w:t>
      </w:r>
      <w:r>
        <w:fldChar w:fldCharType="begin"/>
      </w:r>
      <w:r>
        <w:rPr/>
        <w:instrText xml:space="preserve"> TC "</w:instrText>
        <w:tab/>
        <w:instrText xml:space="preserve">WARRANTY OF TITLE AND DELIVERABILITY" \l 1 </w:instrText>
      </w:r>
      <w:r>
        <w:rPr/>
        <w:fldChar w:fldCharType="separate"/>
      </w:r>
      <w:r>
        <w:rPr/>
      </w:r>
      <w:r>
        <w:rPr/>
        <w:fldChar w:fldCharType="end"/>
      </w:r>
      <w:bookmarkStart w:id="9" w:name="__RefHeading___Toc489769276"/>
      <w:bookmarkEnd w:id="9"/>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5" w:end="0"/>
        <w:rPr/>
      </w:pPr>
      <w:r>
        <w:rPr>
          <w:rFonts w:cs="Times New Roman" w:ascii="Times New Roman" w:hAnsi="Times New Roman"/>
        </w:rPr>
        <w:t>12.01.</w:t>
        <w:tab/>
        <w:t>Seller hereby warrants the title to all gas delivered by Seller to Buyer hereunder, at the Receipt Points, as provided in Section 4.02 herein, the right to sell the same, and that the same is free from all liens and adverse claims, and agrees, if notified thereof by Buyer, to indemnify Buyer against all suits, actions, debts, accounts, damages, costs, losses, and expenses arising from or out of any adverse legal claims of any and all persons to or against the title to said gas.  Seller agrees to pay or cause to be paid all taxes and assessments levied on the gas prior to its delivery to Buyer and passage of title as provided in Section 4.02 herein, and to pay or cause to be paid to the parties entitled thereto all royalties, overriding royalties or like charges against said gas or the value thereof prior to delivery to Buyer at the Receipt Points(s).  In the event any adverse claim of any kind or character whatsoever is asserted with respect to Seller</w:t>
      </w:r>
      <w:r>
        <w:rPr>
          <w:rFonts w:cs="WP TypographicSymbols" w:ascii="WP TypographicSymbols" w:hAnsi="WP TypographicSymbols"/>
        </w:rPr>
        <w:t>=</w:t>
      </w:r>
      <w:r>
        <w:rPr>
          <w:rFonts w:cs="Times New Roman" w:ascii="Times New Roman" w:hAnsi="Times New Roman"/>
        </w:rPr>
        <w:t>s title to the gas, Buyer may retain the purchase price thereof up to the amount of such claim without interest until such claim has been finally determined, as security for the performance of Seller's or its Producers' obligations with respect to such claim under this Article XII, or at Seller's election, until Seller shall have furnished bond to Buyer, in an amount and with sureties satisfactory to Buyer, conditioned for the protection of Buyer with respect to such claim.</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12.02</w:t>
        <w:tab/>
        <w:t>Seller represents and warrants that it will supply Buyer from a pool of gas supply attached to Transporter</w:t>
      </w:r>
      <w:r>
        <w:rPr>
          <w:rFonts w:cs="WP TypographicSymbols" w:ascii="WP TypographicSymbols" w:hAnsi="WP TypographicSymbols"/>
        </w:rPr>
        <w:t>=</w:t>
      </w:r>
      <w:r>
        <w:rPr>
          <w:rFonts w:cs="Times New Roman" w:ascii="Times New Roman" w:hAnsi="Times New Roman"/>
        </w:rPr>
        <w:t>s System.  Seller may serve both firm and interruptible customers from this pool.  Any interruption to deliveries of gas from Seller</w:t>
      </w:r>
      <w:r>
        <w:rPr>
          <w:rFonts w:cs="WP TypographicSymbols" w:ascii="WP TypographicSymbols" w:hAnsi="WP TypographicSymbols"/>
        </w:rPr>
        <w:t>=</w:t>
      </w:r>
      <w:r>
        <w:rPr>
          <w:rFonts w:cs="Times New Roman" w:ascii="Times New Roman" w:hAnsi="Times New Roman"/>
        </w:rPr>
        <w:t>s pool of supplies which exceeds Seller</w:t>
      </w:r>
      <w:r>
        <w:rPr>
          <w:rFonts w:cs="WP TypographicSymbols" w:ascii="WP TypographicSymbols" w:hAnsi="WP TypographicSymbols"/>
        </w:rPr>
        <w:t>=</w:t>
      </w:r>
      <w:r>
        <w:rPr>
          <w:rFonts w:cs="Times New Roman" w:ascii="Times New Roman" w:hAnsi="Times New Roman"/>
        </w:rPr>
        <w:t>s interruptible sales load will be shared pro rata amongst all of Seller</w:t>
      </w:r>
      <w:r>
        <w:rPr>
          <w:rFonts w:cs="WP TypographicSymbols" w:ascii="WP TypographicSymbols" w:hAnsi="WP TypographicSymbols"/>
        </w:rPr>
        <w:t>=</w:t>
      </w:r>
      <w:r>
        <w:rPr>
          <w:rFonts w:cs="Times New Roman" w:ascii="Times New Roman" w:hAnsi="Times New Roman"/>
        </w:rPr>
        <w:t>s firm customers based on each firm customer</w:t>
      </w:r>
      <w:r>
        <w:rPr>
          <w:rFonts w:cs="WP TypographicSymbols" w:ascii="WP TypographicSymbols" w:hAnsi="WP TypographicSymbols"/>
        </w:rPr>
        <w:t>=</w:t>
      </w:r>
      <w:r>
        <w:rPr>
          <w:rFonts w:cs="Times New Roman" w:ascii="Times New Roman" w:hAnsi="Times New Roman"/>
        </w:rPr>
        <w:t>s contract Daily Transaction Quantity.</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12.03</w:t>
        <w:tab/>
        <w:t xml:space="preserve">Except in the event of:  (i) the occurrence of a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 (ii) discrepancies in metering and or allocation of the gas delivered hereunder; and/or (iii) the provisions of Section 12.04 herein, Seller agrees and obligates itself to deliver to Buyer one hundred (100%) of the Daily Nominated Quantity on each day of the term hereof (the “Deliverability Obligation”).  In the event that on any day during the term hereof Seller should breach the Deliverability Obligation, Seller shall:  (i) pay Buyer the replacement cost of gas for the quantity of gas not delivered, which shall equal for any affected effective Exhibit A the product of:  (a) the quantity of gas not delivered multiplied times (b) the difference, if positive, between (i) the Midpoint Price, as defined in the effective Exhibit A, less (ii) the applicable gas commodity price per Dth effective for that month per the effective Exhibit A for those quantities not delivered; and (ii) reduce any applicable Gas Demand Charge due from Buyer by an amount equal to the quantity of gas, not delivered, multiplied by the Gas Demand Rate in effect for such day, as such is defined in the effective Exhibit A.  This Section 12.03 shall provide the sole and exclusive remedy of breach under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12.03(a)</w:t>
        <w:tab/>
        <w:t>Notwithstanding any other provisions of this Contract, neither party shall be liable or otherwise responsible to the other for consequential, punitive or incidental damages or for lost profits which arise out of or relate to this Contract or the performance or breach thereof.</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12.04</w:t>
        <w:tab/>
        <w:t xml:space="preserve">Buyer and Seller recognize that even under normal operating conditions, the quantities of receipts and deliveries of gas hereunder may not be exactly equal on each day of the term hereof, and as a result of some act or omission by either party, and by virtue thereof the other incurs a penalty or cash-out charge therefore, under the provisions of Transporter's tariff, then such party causing the penalty or cash-out charge shall reimburse the other upon being invoiced for any such charges.  However, anything else herein to the contrary notwithstanding, Seller shall not incur any charges, penalties or assessments under this Contract (including but not limited to any charges, penalties or assessments that would otherwise accrue by virtue of the provisions of this Article XII) by reason of any imbalance in receipts and deliveries hereunder, if such imbalances are: (i) within the daily or monthly imbalance tolerance levels (as applicable) in effect from time-to-time under Transporter's tariff; or (ii) the result of any act or omission by Buyer, </w:t>
      </w:r>
      <w:r>
        <w:rPr>
          <w:rFonts w:cs="Times New Roman" w:ascii="Times New Roman" w:hAnsi="Times New Roman"/>
          <w:u w:val="single"/>
        </w:rPr>
        <w:t>provided however, that</w:t>
      </w:r>
      <w:r>
        <w:rPr>
          <w:rFonts w:cs="Times New Roman" w:ascii="Times New Roman" w:hAnsi="Times New Roman"/>
        </w:rPr>
        <w:t xml:space="preserve"> upon knowledge of any potential imbalance situation by Buyer and Seller, both Buyer and Seller shall use their best efforts to correct any such imbalances as soon as is reasonably and commercially practicable.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12.05</w:t>
        <w:tab/>
        <w:t xml:space="preserve">Notwithstanding the provisions of Section 12.03, above, if on any day Seller invokes the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provision of Article IX of this Contract, then Buyer's obligation to pay any applicable Gas Demand Charge under Article VII shall be equal to: any applicable Demand Rate per Dekatherm (as specified on Exhibit A) times the actual quantity of gas delivered by Seller to Buyer hereunder on each such day during the period of time such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is in effect.  However, in no event shall Buyer be excused from its obligation to pay Seller the Gas Demand Charge in effect on any day when Buyer invokes the </w:t>
      </w:r>
      <w:r>
        <w:rPr>
          <w:rFonts w:cs="Times New Roman" w:ascii="Times New Roman" w:hAnsi="Times New Roman"/>
          <w:u w:val="single"/>
        </w:rPr>
        <w:t>force</w:t>
      </w:r>
      <w:r>
        <w:rPr>
          <w:rFonts w:cs="Times New Roman" w:ascii="Times New Roman" w:hAnsi="Times New Roman"/>
        </w:rPr>
        <w:t xml:space="preserve"> </w:t>
      </w:r>
      <w:r>
        <w:rPr>
          <w:rFonts w:cs="Times New Roman" w:ascii="Times New Roman" w:hAnsi="Times New Roman"/>
          <w:u w:val="single"/>
        </w:rPr>
        <w:t>majeure</w:t>
      </w:r>
      <w:r>
        <w:rPr>
          <w:rFonts w:cs="Times New Roman" w:ascii="Times New Roman" w:hAnsi="Times New Roman"/>
        </w:rPr>
        <w:t xml:space="preserve"> event.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textDirection w:val="lrTb"/>
          <w:docGrid w:type="default" w:linePitch="360" w:charSpace="0"/>
        </w:sectPr>
      </w:pPr>
    </w:p>
    <w:p>
      <w:pPr>
        <w:pStyle w:val="TOC1"/>
        <w:rPr/>
      </w:pPr>
      <w:r>
        <w:rPr/>
        <w:t>XIII.</w:t>
      </w:r>
    </w:p>
    <w:p>
      <w:pPr>
        <w:pStyle w:val="TOC1"/>
        <w:rPr/>
      </w:pPr>
      <w:r>
        <w:rPr/>
        <w:t>REGULATORY AUTHORITIES</w:t>
      </w:r>
      <w:r>
        <w:fldChar w:fldCharType="begin"/>
      </w:r>
      <w:r>
        <w:rPr/>
        <w:instrText xml:space="preserve"> TC "</w:instrText>
        <w:tab/>
        <w:instrText xml:space="preserve">XIII.</w:instrText>
        <w:tab/>
        <w:instrText xml:space="preserve">REGULATORY AUTHORITIES" \l 1 </w:instrText>
      </w:r>
      <w:r>
        <w:rPr/>
        <w:fldChar w:fldCharType="separate"/>
      </w:r>
      <w:r>
        <w:rPr/>
      </w:r>
      <w:r>
        <w:rPr/>
        <w:fldChar w:fldCharType="end"/>
      </w:r>
      <w:bookmarkStart w:id="10" w:name="__RefHeading___Toc489769277"/>
      <w:bookmarkEnd w:id="10"/>
    </w:p>
    <w:p>
      <w:pPr>
        <w:pStyle w:val="BodyTextIndent"/>
        <w:keepNext w:val="true"/>
        <w:keepLines/>
        <w:rPr/>
      </w:pPr>
      <w:r>
        <w:rPr/>
        <w:t>13.01</w:t>
        <w:tab/>
        <w:t>This Contract is subject to all present and future orders, rules, and regulations of any regulatory body having jurisdiction.  Neither Buyer nor Seller shall be required to perform under this Contract where to do so would constitute a violation of any such orders, rules or regulations.  Upon request by either Buyer or Seller, the party to whom the request is made shall furnish the requesting party with a complete copy of all material filed with or submitted to any regulatory body as it pertains to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13.02</w:t>
        <w:tab/>
        <w:t>Seller recognizes that gas purchased by Buyer pursuant to this Contract constitutes a portion of Buyer's overall gas supply which is resold by Buyer to its customers at rates and under conditions which are, on the date hereof, subject to the jurisdiction of the New York Public Service Commission and the Pennsylvania Public Utility Commission and may be subject to or affected by the jurisdiction of the Federal Energy Regulatory Commission.  Accordingly, and notwithstanding any other provisions of this Contract, if any federal or state law, or order, opinion, decision, enactment, rule or regulation of any state or federal governmental authority, administrative law judge, hearing officer or court which has become final and non-appealable (collectively, a “Disallowance Event”) directly prevents Buyer from fully recovering any portion of the gas price paid, or obligated to be paid, under this Contract to Seller, then both Buyer and Seller shall have the right (subject to the provisions of Section 13.02(a), below) within thirty (30) days of such Disallowance Event, to terminate the effective Exhibit A(s) which are affected by such Disallowance Event.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13.02(a)</w:t>
        <w:tab/>
        <w:t>Unless directed to do so by any regulatory authority having jurisdiction, Buyer shall not make, cause to be made, or assist any other party in making any filing with, or in any way seek any action by any regulatory authority, or court or other body having jurisdiction, which would directly or indirectly cause the occurrence of a Disallowance Event.  Moreover, should any person make or cause to be made any such filing, Buyer shall participate in any proceeding or hearing occasioned by any such filing to the fullest extent allowed by law and shall vigorously defend the propriety of this Contract and otherwise employ its best efforts to ensure that no Disallowance Event shall occur as a result of any such filing.</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XIV.</w:t>
      </w:r>
    </w:p>
    <w:p>
      <w:pPr>
        <w:pStyle w:val="TOC1"/>
        <w:rPr/>
      </w:pPr>
      <w:r>
        <w:rPr/>
        <w:t>ARBITRATION</w:t>
      </w:r>
      <w:r>
        <w:fldChar w:fldCharType="begin"/>
      </w:r>
      <w:r>
        <w:rPr/>
        <w:instrText xml:space="preserve"> TC "</w:instrText>
        <w:tab/>
        <w:instrText xml:space="preserve">XIV.</w:instrText>
        <w:tab/>
        <w:instrText xml:space="preserve">ARBITRATION" \l 1 </w:instrText>
      </w:r>
      <w:r>
        <w:rPr/>
        <w:fldChar w:fldCharType="separate"/>
      </w:r>
      <w:r>
        <w:rPr/>
      </w:r>
      <w:r>
        <w:rPr/>
        <w:fldChar w:fldCharType="end"/>
      </w:r>
      <w:bookmarkStart w:id="11" w:name="__RefHeading___Toc489769278"/>
      <w:bookmarkEnd w:id="11"/>
    </w:p>
    <w:p>
      <w:pPr>
        <w:pStyle w:val="BodyTextIndent"/>
        <w:rPr/>
      </w:pPr>
      <w:r>
        <w:rPr/>
        <w:t>14.01</w:t>
        <w:tab/>
        <w:t>Buyer and Seller desire to avoid and settle without litigation any dispute or controversy, whether sounding in contract, tort, or otherwise, which may arise between the parties under this Contract.  Accordingly, Buyer and Seller agree to engage in good faith negotiations to resolve any such dispute.  In the event that the parties are unable to resolve such dispute by negotiation, the parties agree to submit the dispute to arbitration in accordance with the following provisions.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14.02</w:t>
        <w:tab/>
        <w:t>Either party may request arbitration pursuant to this Article XIV upon providing written notice to the other party.  The parties shall attempt to agree upon a single arbitrator within fifteen (15) days following receipt of such notice.  In this event, the dispute shall be arbitrated by this single arbitrator.  If the parties are unable to agree upon a single arbitrator within such fifteen (15) day period, then each party shall appoint an arbitrator within thirty (30) days following receipt of the written notice of request for arbitration.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14.02(a)</w:t>
        <w:tab/>
        <w:t>The two (2) arbitrators so selected shall, within fifteen (15) days after the appointment of the second arbitrator, choose a third arbitrator.  In the event that either party fails to name a second arbitrator at the end of thirty (30) days following the date of receipt of written notice of a request for arbitration, or if the two arbitrators are unable to select a third arbitrator, such arbitrator shall then be determined in accordance with the Commercial Arbitration Rules of the American Arbitration Association (“Commercial Rules”).  Fees associated with this service shall be paid by the party who was unable to appoint an arbitrator or by both parties equally in the event that the two chosen arbitrators cannot agree on a third.</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14.03</w:t>
        <w:tab/>
        <w:t>The arbitrator(s) selected to act shall be qualified by education, experience within the natural gas industry and training to pass upon the particular controversy in dispute.  No arbitrator shall be a current or former employee, agent, or the beneficial owner of any interest or common stock of either party, any affiliate of either party, or a partner or employee of a law firm that has represented either party within the five (5) years preceding the invocation of arbitration.</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14.04</w:t>
        <w:tab/>
        <w:t xml:space="preserve">The arbitrator or board of arbitrators shall fix a reasonable time and place for a hearing, at which time each of the parties may submit such evidence as each party may see fit with respect to the controversy at issue.  Pre-trial discovery shall be available to both parties consistent with the discovery rules of the Federal Arbitration Act as codified at 9 U.S.C. </w:t>
      </w:r>
      <w:r>
        <w:rPr>
          <w:rFonts w:cs="WP TypographicSymbols" w:ascii="WP TypographicSymbols" w:hAnsi="WP TypographicSymbols"/>
        </w:rPr>
        <w:t>''</w:t>
      </w:r>
      <w:r>
        <w:rPr>
          <w:rFonts w:cs="Times New Roman" w:ascii="Times New Roman" w:hAnsi="Times New Roman"/>
        </w:rPr>
        <w:t>1-16, and in accordance with the Commercial Rules.  Such arbitrator or board of arbitrators shall determine the claims submitted to it pursuant to the provisions of this Contract in accordance with the substantive law of the state of Texas, excluding the conflicts provisions of such law, and render a decision thereon no later than sixty (60) days after such board (or single arbitrator, as the case may be) has been appointed.  Such decision shall be final and binding on the parties.  The arbitrator(s) may not award punitive damages.  The action of the sole arbitrator, or of a majority of the members of the board of arbitrators, as the case may be, shall govern and their decisions in writing shall state with particularity the decision and shall be signed by the arbitrator(s) or a majority of them.  A judgment upon the award rendered by the arbitrator(s) may be entered in any court having jurisdiction thereof.</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14.05</w:t>
        <w:tab/>
        <w:t>To aid the arbitrator(s) in their decision, both parties may submit evidence in the form of separate proposals to the arbitrator(s) establishing their relative positions with respect to the dispute, or, in the event of a pricing dispute, to establish a pricing mechanism that results in prices that are responsive to the market and fairly reflect the prices of gas dedicated to recently executed (relative to the time of arbitration) contracts for term sale in the interstate market, or to long-term contracts providing for market sensitive pricing, under which gas is delivered to Transporter in the same region as the Receipt Point(s) hereunder.</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14.06</w:t>
        <w:tab/>
        <w:t>Each party shall pay the expenses of the arbitrator selected by it, and of its counsel, witnesses, and employees, and all other costs of arbitration shall be equally divided between the parties.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XV.</w:t>
      </w:r>
    </w:p>
    <w:p>
      <w:pPr>
        <w:pStyle w:val="TOC1"/>
        <w:rPr/>
      </w:pPr>
      <w:r>
        <w:rPr/>
        <w:t>NOTICES AND ADDRESSES</w:t>
      </w:r>
      <w:r>
        <w:fldChar w:fldCharType="begin"/>
      </w:r>
      <w:r>
        <w:rPr/>
        <w:instrText xml:space="preserve"> TC "</w:instrText>
        <w:tab/>
        <w:instrText xml:space="preserve">XV.</w:instrText>
        <w:tab/>
        <w:instrText xml:space="preserve">NOTICES AND ADDRESSES" \l 1 </w:instrText>
      </w:r>
      <w:r>
        <w:rPr/>
        <w:fldChar w:fldCharType="separate"/>
      </w:r>
      <w:r>
        <w:rPr/>
      </w:r>
      <w:r>
        <w:rPr/>
        <w:fldChar w:fldCharType="end"/>
      </w:r>
      <w:bookmarkStart w:id="12" w:name="__RefHeading___Toc489769279"/>
      <w:bookmarkEnd w:id="12"/>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15.01</w:t>
        <w:tab/>
        <w:t>All notices provided for hereunder shall be by facsimile confirmed as delivered; and at Sender</w:t>
      </w:r>
      <w:r>
        <w:rPr>
          <w:rFonts w:cs="WP TypographicSymbols" w:ascii="WP TypographicSymbols" w:hAnsi="WP TypographicSymbols"/>
        </w:rPr>
        <w:t>=</w:t>
      </w:r>
      <w:r>
        <w:rPr>
          <w:rFonts w:cs="Times New Roman" w:ascii="Times New Roman" w:hAnsi="Times New Roman"/>
        </w:rPr>
        <w:t>s option followed up with originals sent within forty-eight (48) hours via the United States mail, postage prepaid, registered or certified mail, return receipt requested, addressed to the applicable party at the address indicated below for such party, or as to each party at such other address as shall be designated by each party in a written notice to the other party.</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b/>
          <w:u w:val="single"/>
        </w:rPr>
        <w:t>TO SELLER</w:t>
      </w:r>
      <w:r>
        <w:rPr>
          <w:rFonts w:cs="Times New Roman" w:ascii="Times New Roman" w:hAnsi="Times New Roman"/>
          <w:b/>
        </w:rPr>
        <w:t>:</w:t>
        <w:tab/>
        <w:tab/>
        <w:tab/>
        <w:tab/>
        <w:tab/>
        <w:tab/>
      </w:r>
      <w:r>
        <w:rPr>
          <w:rFonts w:cs="Times New Roman" w:ascii="Times New Roman" w:hAnsi="Times New Roman"/>
          <w:b/>
          <w:u w:val="single"/>
        </w:rPr>
        <w:t>TO BUYER</w:t>
      </w:r>
      <w:r>
        <w:rPr>
          <w:rFonts w:cs="Times New Roman" w:ascii="Times New Roman" w:hAnsi="Times New Roman"/>
          <w:b/>
        </w:rPr>
        <w: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u w:val="single"/>
        </w:rPr>
        <w:t>Correspondence and Notices</w:t>
      </w:r>
      <w:r>
        <w:rPr>
          <w:rFonts w:cs="Times New Roman" w:ascii="Times New Roman" w:hAnsi="Times New Roman"/>
        </w:rPr>
        <w:tab/>
        <w:tab/>
        <w:tab/>
      </w:r>
      <w:r>
        <w:rPr>
          <w:rFonts w:cs="Times New Roman" w:ascii="Times New Roman" w:hAnsi="Times New Roman"/>
          <w:u w:val="single"/>
        </w:rPr>
        <w:t>Correspondence and Notices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National Fuel Gas Distribution Corporation</w:t>
        <w:tab/>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10 Lafayette Square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Buffalo, NY  14203</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Attn:  Contract Administration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w:ascii="Times New Roman" w:hAnsi="Times New Roman"/>
          <w:u w:val="single"/>
        </w:rPr>
        <w:t>Invoices</w:t>
      </w:r>
      <w:r>
        <w:rPr>
          <w:rFonts w:cs="Times New Roman" w:ascii="Times New Roman" w:hAnsi="Times New Roman"/>
        </w:rPr>
        <w:tab/>
        <w:tab/>
        <w:tab/>
        <w:tab/>
        <w:tab/>
        <w:tab/>
      </w:r>
      <w:r>
        <w:rPr>
          <w:rFonts w:cs="Times New Roman" w:ascii="Times New Roman" w:hAnsi="Times New Roman"/>
          <w:u w:val="single"/>
        </w:rPr>
        <w:t>Invoices</w:t>
      </w:r>
      <w:r>
        <w:rPr>
          <w:rFonts w:cs="Times New Roman" w:ascii="Times New Roman" w:hAnsi="Times New Roman"/>
        </w:rPr>
        <w:tab/>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National Fuel Gas Distribution Corporation</w:t>
        <w:tab/>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10 Lafayette Square</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Buffalo, NY  14203</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rFonts w:ascii="Times New Roman" w:hAnsi="Times New Roman" w:cs="Times New Roman"/>
        </w:rPr>
      </w:pPr>
      <w:r>
        <w:rPr>
          <w:rFonts w:cs="Times New Roman" w:ascii="Times New Roman" w:hAnsi="Times New Roman"/>
        </w:rPr>
        <w:t>Attn: Gas Accounting</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Telephone:  (   )     </w:t>
        <w:tab/>
        <w:tab/>
        <w:tab/>
        <w:tab/>
        <w:tab/>
        <w:t>Telephone:   (716) 857-7975</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Facsimile:  (   ) </w:t>
        <w:tab/>
        <w:tab/>
        <w:tab/>
        <w:tab/>
        <w:tab/>
        <w:tab/>
        <w:t>Facsimile:   (716) 857-7823</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TOC1"/>
        <w:rPr>
          <w:rFonts w:ascii="Times New Roman" w:hAnsi="Times New Roman" w:cs="Times New Roman"/>
        </w:rPr>
      </w:pPr>
      <w:r>
        <w:rPr>
          <w:rFonts w:cs="Times New Roman"/>
        </w:rPr>
      </w:r>
    </w:p>
    <w:p>
      <w:pPr>
        <w:pStyle w:val="TOC1"/>
        <w:rPr/>
      </w:pPr>
      <w:r>
        <w:rPr/>
        <w:t>XVI.</w:t>
      </w:r>
    </w:p>
    <w:p>
      <w:pPr>
        <w:pStyle w:val="TOC1"/>
        <w:rPr/>
      </w:pPr>
      <w:r>
        <w:rPr/>
        <w:t>CONFIDENTIALITY</w:t>
      </w:r>
      <w:r>
        <w:fldChar w:fldCharType="begin"/>
      </w:r>
      <w:r>
        <w:rPr/>
        <w:instrText xml:space="preserve"> TC "</w:instrText>
        <w:tab/>
        <w:instrText xml:space="preserve">XVI.</w:instrText>
        <w:tab/>
        <w:instrText xml:space="preserve">CONFIDENTIALITY" \l 1 </w:instrText>
      </w:r>
      <w:r>
        <w:rPr/>
        <w:fldChar w:fldCharType="separate"/>
      </w:r>
      <w:r>
        <w:rPr/>
      </w:r>
      <w:r>
        <w:rPr/>
        <w:fldChar w:fldCharType="end"/>
      </w:r>
      <w:bookmarkStart w:id="13" w:name="__RefHeading___Toc489769280"/>
      <w:bookmarkEnd w:id="13"/>
    </w:p>
    <w:p>
      <w:pPr>
        <w:pStyle w:val="Norma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16.01</w:t>
        <w:tab/>
        <w:t xml:space="preserve">Each party agrees that it will maintain this Contract and all parts and contents of the Contract in strictest confidence and that it will not cause or permit disclosure to any third party of this Contract or of the contents thereof without the express written consent of the other party except as provided in Section 16.02; </w:t>
      </w:r>
      <w:r>
        <w:rPr>
          <w:rFonts w:cs="Times New Roman" w:ascii="Times New Roman" w:hAnsi="Times New Roman"/>
          <w:u w:val="single"/>
        </w:rPr>
        <w:t>provided however, that</w:t>
      </w:r>
      <w:r>
        <w:rPr>
          <w:rFonts w:cs="Times New Roman" w:ascii="Times New Roman" w:hAnsi="Times New Roman"/>
        </w:rPr>
        <w:t xml:space="preserve"> such third party restriction does not apply to any affiliate or subsidiary of Buyer or Seller.  Disclosure to a third party is restricted by and permitted only to the extent to which a party hereto is required to disclose all or part of this specific Contract by a statute or by a court, or agency, or other governmental body exercising jurisdiction over the subject matter hereof, by order, or by regulation or other compulsory process (including, but not limited to, deposition, subpoena, interrogatory, or request for production of documents) or to facilitate transportation or royalty and joint interest purposes.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16.02</w:t>
        <w:tab/>
        <w:t>Buyer is subject to the jurisdiction of various agencies which require disclosure of certain data.  Buyer shall provide a general written notice each year to Seller of such disclosure requirements.  If either party is or becomes aware of any other statute, regulation, order, other compulsory process, or a judicial or governmental proceeding that has resulted or may result in such compulsory disclosure, it shall so notify the other party immediately and shall provide a copy of the order, regulation or compulsory process as soon as it is available.  Each party further agrees to cooperate to the fullest extent in seeking whatever confidential status may be available to protect any material so disclosed.</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16.03</w:t>
        <w:tab/>
        <w:t>The parties hereto acknowledge that independent legal counsel may, from time-to-time, be provided with a copy of the Contract and agree that such disclosure does not require express written consent, provided that such counsel affirms in writing to its client that it does not represent third parties in direct or indirect competition with the parties hereto.</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Times New Roman" w:hAnsi="Times New Roman" w:cs="Times New Roman"/>
        </w:rPr>
      </w:pPr>
      <w:r>
        <w:rPr>
          <w:rFonts w:cs="Times New Roman" w:ascii="Times New Roman" w:hAnsi="Times New Roman"/>
        </w:rPr>
      </w:r>
    </w:p>
    <w:p>
      <w:pPr>
        <w:pStyle w:val="TOC1"/>
        <w:rPr/>
      </w:pPr>
      <w:r>
        <w:rPr/>
        <w:t>XVII.</w:t>
      </w:r>
    </w:p>
    <w:p>
      <w:pPr>
        <w:pStyle w:val="TOC1"/>
        <w:rPr/>
      </w:pPr>
      <w:r>
        <w:rPr/>
        <w:t>MISCELLANEOUS</w:t>
      </w:r>
      <w:r>
        <w:fldChar w:fldCharType="begin"/>
      </w:r>
      <w:r>
        <w:rPr/>
        <w:instrText xml:space="preserve"> TC "</w:instrText>
        <w:tab/>
        <w:instrText xml:space="preserve">XVII.</w:instrText>
        <w:tab/>
        <w:instrText xml:space="preserve">MISCELLANEOUS" \l 1 </w:instrText>
      </w:r>
      <w:r>
        <w:rPr/>
        <w:fldChar w:fldCharType="separate"/>
      </w:r>
      <w:r>
        <w:rPr/>
      </w:r>
      <w:r>
        <w:rPr/>
        <w:fldChar w:fldCharType="end"/>
      </w:r>
      <w:bookmarkStart w:id="14" w:name="__RefHeading___Toc489769281"/>
      <w:bookmarkEnd w:id="14"/>
    </w:p>
    <w:p>
      <w:pPr>
        <w:pStyle w:val="Normal"/>
        <w:keepLines/>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17.01</w:t>
        <w:tab/>
        <w:t>No waiver by either party of any one or more defaults or breaches by the other in the performance of any of the terms or provisions of this Contract shall operate or be construed as a waiver of any future default or breach, whether of a like or of a different character.</w:t>
      </w:r>
    </w:p>
    <w:p>
      <w:pPr>
        <w:sect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17.02</w:t>
        <w:tab/>
        <w:t>This Contract shall be binding upon and inure to the benefit of the heirs, legal representatives, successors and assigns of the respective parties hereto.</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pPr>
      <w:r>
        <w:rPr>
          <w:rFonts w:cs="Times New Roman" w:ascii="Times New Roman" w:hAnsi="Times New Roman"/>
        </w:rPr>
        <w:t>17.03</w:t>
        <w:tab/>
        <w:t xml:space="preserve">Neither party may assign its rights, obligations or interests under this Contract without the express written consent of the other party, such consent not to be unreasonably withheld; except that either party may assign its rights, obligations, or interests to an affiliate or subsidiary without such consent </w:t>
      </w:r>
      <w:r>
        <w:rPr>
          <w:rFonts w:cs="Times New Roman" w:ascii="Times New Roman" w:hAnsi="Times New Roman"/>
          <w:u w:val="single"/>
        </w:rPr>
        <w:t>provided however, that</w:t>
      </w:r>
      <w:r>
        <w:rPr>
          <w:rFonts w:cs="Times New Roman" w:ascii="Times New Roman" w:hAnsi="Times New Roman"/>
        </w:rPr>
        <w:t xml:space="preserve"> nothing contained herein shall in any way prevent either party hereto from pledging or mortgaging its rights hereunder for security of any indebtedness.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17.04</w:t>
        <w:tab/>
        <w:t>Each party hereto from time-to-time shall execute and deliver such other and further instruments as the other party or its counsel may reasonably deem necessary in order to effectuate the intent of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17.05</w:t>
        <w:tab/>
        <w:t>The terms and conditions hereof, and subsequent performance hereunder, shall be construed under and governed by the laws of the State of Texas.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17.06</w:t>
        <w:tab/>
        <w:t>Article and Section headings used in this Contract are for convenience of reference only and shall not affect the construction of any terms or provisions of this Contract.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17.07</w:t>
        <w:tab/>
        <w:t>The parties shall not be bound by any agreements, understandings, conditions, or inducements other than as are expressly set forth, stipulated or referenced herein.  No change, alteration, amendment, modification or revision of any of the terms or provisions hereof shall be valid unless the same shall be in writing and signed by each of the parties.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17.08</w:t>
        <w:tab/>
        <w:t>If any period of time set forth in this Contract expires on a holiday or other non-business day, then such date shall for all purposes hereunder be extended to the next business day immediately following such holiday or non-business day.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17.09</w:t>
        <w:tab/>
        <w:t>Time shall be of the essence in all things pertaining to the performance of this Contract, unless waived in writing by both of the parties.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17.10</w:t>
        <w:tab/>
        <w:t>This Contract may be executed in counterpart originals and shall be binding on the party executing the same when so executed, but each of such counterpart originals shall constitute but one and the same instrument.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17.11</w:t>
        <w:tab/>
        <w:t>Seller reserves the right, at its sole cost, to process gas delivered hereunder at a point or points acceptable to Seller, whether prior to or after delivery to Buyer, for the extraction of any components contained therein other than methane, except for methane reasonably removed in processing.  Such processing shall not render the gas incapable of meeting the applicable quality specifications herein and shall not reduce the DNQ scheduled to be received by Buyer on any day or days.  Seller shall indemnify Buyer against any responsibility for or liability in connection with any such separation, extraction or processing by Seller or costs attendant thereto, including, but not limited to, plant shrinkage, fuel and the cost of transporting liquid and liquefiable hydrocarbons to such point or points.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end="0"/>
        <w:rPr>
          <w:rFonts w:ascii="Times New Roman" w:hAnsi="Times New Roman" w:cs="Times New Roman"/>
        </w:rPr>
      </w:pPr>
      <w:r>
        <w:rPr>
          <w:rFonts w:cs="Times New Roman" w:ascii="Times New Roman" w:hAnsi="Times New Roman"/>
        </w:rPr>
        <w:t>IN WITNESS WHEREOF, the parties hereto have caused this Contract to be executed effective as of the day and year first above written.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w:hAnsi="Times New Roman" w:cs="Times New Roman"/>
        </w:rPr>
      </w:pPr>
      <w:r>
        <w:rPr>
          <w:rFonts w:cs="Times New Roman" w:ascii="Times New Roman" w:hAnsi="Times New Roman"/>
        </w:rPr>
        <w:t>NATIONAL FUEL GAS</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w:hAnsi="Times New Roman" w:cs="Times New Roman"/>
        </w:rPr>
      </w:pPr>
      <w:r>
        <w:rPr>
          <w:rFonts w:cs="Times New Roman" w:ascii="Times New Roman" w:hAnsi="Times New Roman"/>
        </w:rPr>
        <w:t>DISTRIBUTION CORPORATION</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r>
        <w:rPr>
          <w:rFonts w:cs="Times New Roman" w:ascii="Times New Roman" w:hAnsi="Times New Roman"/>
        </w:rPr>
        <w:tab/>
        <w:tab/>
        <w:tab/>
        <w:t xml:space="preserve">By:  </w:t>
      </w:r>
      <w:r>
        <w:rPr>
          <w:rFonts w:cs="Times New Roman" w:ascii="Times New Roman" w:hAnsi="Times New Roman"/>
          <w:u w:val="single"/>
        </w:rPr>
        <w:t xml:space="preserve">                                                           </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rPr>
          <w:rFonts w:ascii="Times New Roman" w:hAnsi="Times New Roman" w:cs="Times New Roman"/>
        </w:rPr>
      </w:pPr>
      <w:r>
        <w:rPr>
          <w:rFonts w:cs="Times New Roman" w:ascii="Times New Roman" w:hAnsi="Times New Roman"/>
        </w:rPr>
        <w:t>Walter E. DeForest</w:t>
      </w:r>
    </w:p>
    <w:p>
      <w:pPr>
        <w:pStyle w:val="Normal"/>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Its: </w:t>
      </w:r>
      <w:r>
        <w:rPr>
          <w:rFonts w:cs="Times New Roman" w:ascii="Times New Roman" w:hAnsi="Times New Roman"/>
          <w:u w:val="single"/>
        </w:rPr>
        <w:t xml:space="preserve">                                                </w:t>
      </w:r>
      <w:r>
        <w:rPr>
          <w:rFonts w:cs="Times New Roman" w:ascii="Times New Roman" w:hAnsi="Times New Roman"/>
        </w:rPr>
        <w:tab/>
        <w:tab/>
        <w:t xml:space="preserve">Its: </w:t>
      </w:r>
      <w:r>
        <w:rPr>
          <w:rFonts w:cs="Times New Roman" w:ascii="Times New Roman" w:hAnsi="Times New Roman"/>
          <w:u w:val="single"/>
        </w:rPr>
        <w:t xml:space="preserve">     Senior Vice President                      </w:t>
      </w:r>
    </w:p>
    <w:p>
      <w:pPr>
        <w:pStyle w:val="Normal"/>
        <w:widowControl/>
        <w:tabs>
          <w:tab w:val="clear" w:pos="720"/>
          <w:tab w:val="left" w:pos="-1080" w:leader="none"/>
          <w:tab w:val="left" w:pos="-720" w:leader="none"/>
          <w:tab w:val="left" w:pos="0" w:leader="none"/>
          <w:tab w:val="left" w:pos="600" w:leader="none"/>
          <w:tab w:val="left" w:pos="117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170" w:end="0"/>
        <w:rPr>
          <w:rFonts w:ascii="Times New Roman" w:hAnsi="Times New Roman" w:cs="Times New Roman"/>
        </w:rPr>
      </w:pPr>
      <w:r>
        <w:rPr>
          <w:rFonts w:cs="Times New Roman" w:ascii="Times New Roman" w:hAnsi="Times New Roman"/>
        </w:rPr>
        <w:t>- SELLER -</w:t>
        <w:tab/>
        <w:tab/>
        <w:tab/>
        <w:tab/>
        <w:tab/>
        <w:tab/>
        <w:tab/>
        <w:t>- BUYER -</w:t>
        <w:tab/>
        <w:tab/>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jc w:val="center"/>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rPr>
      </w:pPr>
      <w:r>
        <w:rPr>
          <w:rFonts w:cs="Times New Roman" w:ascii="Times New Roman" w:hAnsi="Times New Roman"/>
          <w:b/>
        </w:rPr>
        <w:t>TO</w:t>
      </w:r>
    </w:p>
    <w:p>
      <w:pPr>
        <w:pStyle w:val="Normal"/>
        <w:jc w:val="center"/>
        <w:rPr>
          <w:rFonts w:ascii="Times New Roman" w:hAnsi="Times New Roman" w:cs="Times New Roman"/>
          <w:b/>
        </w:rPr>
      </w:pPr>
      <w:r>
        <w:rPr>
          <w:rFonts w:cs="Times New Roman" w:ascii="Times New Roman" w:hAnsi="Times New Roman"/>
          <w:b/>
        </w:rPr>
        <w:t>MASTER GAS PURCHASE CONTRACT No. ____________</w:t>
      </w:r>
    </w:p>
    <w:p>
      <w:pPr>
        <w:pStyle w:val="Normal"/>
        <w:jc w:val="center"/>
        <w:rPr>
          <w:rFonts w:ascii="Times New Roman" w:hAnsi="Times New Roman" w:cs="Times New Roman"/>
          <w:sz w:val="20"/>
        </w:rPr>
      </w:pPr>
      <w:r>
        <w:rPr>
          <w:rFonts w:cs="Times New Roman" w:ascii="Times New Roman" w:hAnsi="Times New Roman"/>
          <w:sz w:val="20"/>
        </w:rPr>
        <w:t>Date: 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0"/>
        </w:rPr>
      </w:pPr>
      <w:r>
        <w:rPr>
          <w:rFonts w:cs="Times New Roman" w:ascii="Times New Roman" w:hAnsi="Times New Roman"/>
          <w:sz w:val="20"/>
        </w:rPr>
        <w:t>This Exhibit A provides the specific Terms and Conditions governing Gas Purchase and Sale under the MASTER GAS PURCHASE CONTRACT No. MB _________ and is entered into, under and pursuant to such Master Gas Purchase Contract between _______________________ (Seller) and National Fuel Gas Distribution Corporation (Buyer), dated _________________.</w:t>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b/>
          <w:sz w:val="20"/>
        </w:rPr>
      </w:pPr>
      <w:r>
        <w:rPr>
          <w:rFonts w:cs="Times New Roman" w:ascii="Times New Roman" w:hAnsi="Times New Roman"/>
          <w:b/>
          <w:sz w:val="20"/>
        </w:rPr>
        <w:t>THIS EXHIBIT A MUST BE SIGNED AND RETURNED WITHIN 5 BUSINESS DAYS.</w:t>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tabs>
          <w:tab w:val="clear" w:pos="720"/>
          <w:tab w:val="left" w:pos="4680" w:leader="none"/>
        </w:tabs>
        <w:rPr>
          <w:rFonts w:ascii="Times New Roman" w:hAnsi="Times New Roman" w:cs="Times New Roman"/>
          <w:b/>
          <w:sz w:val="20"/>
        </w:rPr>
      </w:pPr>
      <w:r>
        <w:rPr>
          <w:rFonts w:cs="Times New Roman" w:ascii="Times New Roman" w:hAnsi="Times New Roman"/>
          <w:b/>
          <w:sz w:val="20"/>
        </w:rPr>
        <w:t>Seller:</w:t>
        <w:tab/>
        <w:t>Buyer:</w:t>
      </w:r>
    </w:p>
    <w:p>
      <w:pPr>
        <w:pStyle w:val="Normal"/>
        <w:tabs>
          <w:tab w:val="clear" w:pos="720"/>
          <w:tab w:val="left" w:pos="4680" w:leader="none"/>
        </w:tabs>
        <w:rPr>
          <w:rFonts w:ascii="Times New Roman" w:hAnsi="Times New Roman" w:cs="Times New Roman"/>
          <w:sz w:val="20"/>
        </w:rPr>
      </w:pPr>
      <w:r>
        <w:rPr>
          <w:rFonts w:cs="Times New Roman" w:ascii="Times New Roman" w:hAnsi="Times New Roman"/>
          <w:sz w:val="20"/>
        </w:rPr>
        <w:t>__________________________________</w:t>
        <w:tab/>
        <w:t>National Fuel Gas Distribution Corporation</w:t>
      </w:r>
    </w:p>
    <w:p>
      <w:pPr>
        <w:pStyle w:val="Normal"/>
        <w:tabs>
          <w:tab w:val="clear" w:pos="720"/>
          <w:tab w:val="left" w:pos="4680" w:leader="none"/>
        </w:tabs>
        <w:rPr>
          <w:rFonts w:ascii="Times New Roman" w:hAnsi="Times New Roman" w:cs="Times New Roman"/>
          <w:sz w:val="20"/>
        </w:rPr>
      </w:pPr>
      <w:r>
        <w:rPr>
          <w:rFonts w:cs="Times New Roman" w:ascii="Times New Roman" w:hAnsi="Times New Roman"/>
          <w:sz w:val="20"/>
        </w:rPr>
        <w:t>__________________________________</w:t>
        <w:tab/>
        <w:t>10 Lafayette Square</w:t>
      </w:r>
    </w:p>
    <w:p>
      <w:pPr>
        <w:pStyle w:val="Normal"/>
        <w:tabs>
          <w:tab w:val="clear" w:pos="720"/>
          <w:tab w:val="left" w:pos="4680" w:leader="none"/>
        </w:tabs>
        <w:rPr>
          <w:rFonts w:ascii="Times New Roman" w:hAnsi="Times New Roman" w:cs="Times New Roman"/>
          <w:sz w:val="20"/>
        </w:rPr>
      </w:pPr>
      <w:r>
        <w:rPr>
          <w:rFonts w:cs="Times New Roman" w:ascii="Times New Roman" w:hAnsi="Times New Roman"/>
          <w:sz w:val="20"/>
        </w:rPr>
        <w:t>__________________________________</w:t>
        <w:tab/>
        <w:t>Buffalo, New York  14203</w:t>
      </w:r>
    </w:p>
    <w:p>
      <w:pPr>
        <w:pStyle w:val="Normal"/>
        <w:tabs>
          <w:tab w:val="clear" w:pos="720"/>
          <w:tab w:val="left" w:pos="4680" w:leader="none"/>
        </w:tabs>
        <w:rPr>
          <w:rFonts w:ascii="Times New Roman" w:hAnsi="Times New Roman" w:cs="Times New Roman"/>
          <w:sz w:val="20"/>
        </w:rPr>
      </w:pPr>
      <w:r>
        <w:rPr>
          <w:rFonts w:cs="Times New Roman" w:ascii="Times New Roman" w:hAnsi="Times New Roman"/>
          <w:sz w:val="20"/>
        </w:rPr>
        <w:t>Attn: _____________________________</w:t>
        <w:tab/>
        <w:t>Attn:  Gas Supply Administration</w:t>
      </w:r>
    </w:p>
    <w:p>
      <w:pPr>
        <w:pStyle w:val="Normal"/>
        <w:tabs>
          <w:tab w:val="clear" w:pos="720"/>
          <w:tab w:val="left" w:pos="4680" w:leader="none"/>
        </w:tabs>
        <w:rPr>
          <w:rFonts w:ascii="Times New Roman" w:hAnsi="Times New Roman" w:cs="Times New Roman"/>
          <w:sz w:val="20"/>
        </w:rPr>
      </w:pPr>
      <w:r>
        <w:rPr>
          <w:rFonts w:cs="Times New Roman" w:ascii="Times New Roman" w:hAnsi="Times New Roman"/>
          <w:sz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4680" w:leader="none"/>
        </w:tabs>
        <w:jc w:val="center"/>
        <w:rPr>
          <w:rFonts w:ascii="Times New Roman" w:hAnsi="Times New Roman" w:cs="Times New Roman"/>
          <w:sz w:val="18"/>
        </w:rPr>
      </w:pPr>
      <w:r>
        <w:rPr>
          <w:rFonts w:cs="Times New Roman" w:ascii="Times New Roman" w:hAnsi="Times New Roman"/>
          <w:b/>
          <w:sz w:val="18"/>
        </w:rPr>
        <w:t>CONTRACT PRICE</w:t>
      </w:r>
    </w:p>
    <w:p>
      <w:pPr>
        <w:pStyle w:val="Heading2"/>
        <w:ind w:hanging="0" w:start="0"/>
        <w:rPr/>
      </w:pPr>
      <w:r>
        <w:rPr/>
        <w:t>Check Applicable Box</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430" w:leader="none"/>
          <w:tab w:val="left" w:pos="4500" w:leader="none"/>
          <w:tab w:val="left" w:pos="4860" w:leader="none"/>
          <w:tab w:val="left" w:pos="5130" w:leader="none"/>
          <w:tab w:val="left" w:pos="5400" w:leader="none"/>
        </w:tabs>
        <w:ind w:hanging="1890" w:start="1890" w:end="0"/>
        <w:rPr/>
      </w:pPr>
      <w:bookmarkStart w:id="15" w:name="OLE_LINK1"/>
      <w:bookmarkEnd w:id="15"/>
      <w:r>
        <w:rPr>
          <w:rFonts w:cs="Times New Roman" w:ascii="Times New Roman" w:hAnsi="Times New Roman"/>
          <w:sz w:val="18"/>
          <w:u w:val="single"/>
        </w:rPr>
        <w:t>Gas Commodity Charge</w:t>
      </w:r>
      <w:r>
        <w:rPr>
          <w:rFonts w:cs="Times New Roman" w:ascii="Times New Roman" w:hAnsi="Times New Roman"/>
          <w:sz w:val="18"/>
        </w:rPr>
        <w:t xml:space="preserve">: 1.) </w:t>
      </w:r>
      <w:r>
        <w:rPr>
          <w:rFonts w:eastAsia="WP IconicSymbolsA" w:cs="WP IconicSymbolsA" w:ascii="WP IconicSymbolsA" w:hAnsi="WP IconicSymbolsA"/>
          <w:sz w:val="18"/>
        </w:rPr>
        <w:sym w:font="WP IconicSymbolsA" w:char="f094"/>
      </w:r>
      <w:r>
        <w:rPr>
          <w:rFonts w:cs="Times New Roman" w:ascii="Times New Roman" w:hAnsi="Times New Roman"/>
          <w:sz w:val="18"/>
        </w:rPr>
        <w:tab/>
        <w:t>$ ______ x Quantity</w:t>
        <w:tab/>
      </w:r>
      <w:r>
        <w:rPr>
          <w:rFonts w:cs="Times New Roman" w:ascii="Times New Roman" w:hAnsi="Times New Roman"/>
          <w:b/>
          <w:sz w:val="18"/>
        </w:rPr>
        <w:t>or</w:t>
      </w:r>
      <w:r>
        <w:rPr>
          <w:rFonts w:cs="Times New Roman" w:ascii="Times New Roman" w:hAnsi="Times New Roman"/>
          <w:sz w:val="18"/>
        </w:rPr>
        <w:tab/>
        <w:t>2.)</w:t>
        <w:tab/>
      </w:r>
      <w:r>
        <w:rPr>
          <w:rFonts w:eastAsia="WP IconicSymbolsA" w:cs="WP IconicSymbolsA" w:ascii="WP IconicSymbolsA" w:hAnsi="WP IconicSymbolsA"/>
          <w:sz w:val="18"/>
        </w:rPr>
        <w:sym w:font="WP IconicSymbolsA" w:char="f094"/>
      </w:r>
      <w:r>
        <w:rPr>
          <w:rFonts w:cs="Times New Roman" w:ascii="Times New Roman" w:hAnsi="Times New Roman"/>
          <w:sz w:val="18"/>
        </w:rPr>
        <w:tab/>
        <w:t xml:space="preserve">Index Price: </w:t>
      </w:r>
      <w:r>
        <w:rPr>
          <w:rFonts w:cs="Times New Roman" w:ascii="Times New Roman" w:hAnsi="Times New Roman"/>
          <w:i/>
          <w:sz w:val="18"/>
        </w:rPr>
        <w:t>Inside F.E.R.C.’s “</w:t>
      </w:r>
      <w:r>
        <w:rPr>
          <w:rFonts w:cs="Times New Roman" w:ascii="Times New Roman" w:hAnsi="Times New Roman"/>
          <w:sz w:val="18"/>
        </w:rPr>
        <w:t>GAS MARKET</w:t>
        <w:tab/>
        <w:tab/>
        <w:t>Scheduled by Transporter</w:t>
        <w:tab/>
        <w:tab/>
        <w:tab/>
        <w:t xml:space="preserve">REPORT”, Prices of Spot Gas Delivered to Pipelines, </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430" w:leader="none"/>
          <w:tab w:val="left" w:pos="4500" w:leader="none"/>
          <w:tab w:val="left" w:pos="4860" w:leader="none"/>
          <w:tab w:val="left" w:pos="5130" w:leader="none"/>
          <w:tab w:val="left" w:pos="5490" w:leader="none"/>
        </w:tabs>
        <w:ind w:hanging="1890" w:start="1890" w:end="0"/>
        <w:rPr>
          <w:rFonts w:ascii="Times New Roman" w:hAnsi="Times New Roman" w:cs="Times New Roman"/>
          <w:sz w:val="18"/>
        </w:rPr>
      </w:pPr>
      <w:r>
        <w:rPr>
          <w:rFonts w:cs="Times New Roman" w:ascii="Times New Roman" w:hAnsi="Times New Roman"/>
          <w:sz w:val="18"/>
        </w:rPr>
        <w:tab/>
        <w:tab/>
        <w:tab/>
        <w:tab/>
        <w:t>First of the Month Index (per MMBtu dry) for applicable</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430" w:leader="none"/>
          <w:tab w:val="left" w:pos="4500" w:leader="none"/>
          <w:tab w:val="left" w:pos="4860" w:leader="none"/>
          <w:tab w:val="left" w:pos="5130" w:leader="none"/>
          <w:tab w:val="left" w:pos="5490" w:leader="none"/>
        </w:tabs>
        <w:ind w:hanging="1890" w:start="1890" w:end="0"/>
        <w:rPr>
          <w:rFonts w:ascii="Times New Roman" w:hAnsi="Times New Roman" w:cs="Times New Roman"/>
          <w:sz w:val="18"/>
        </w:rPr>
      </w:pPr>
      <w:r>
        <w:rPr>
          <w:rFonts w:cs="Times New Roman" w:ascii="Times New Roman" w:hAnsi="Times New Roman"/>
          <w:sz w:val="18"/>
        </w:rPr>
        <w:tab/>
        <w:tab/>
        <w:tab/>
        <w:tab/>
        <w:t>Receipt Points x Quantity Scheduled by Transporter;</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160" w:leader="none"/>
          <w:tab w:val="left" w:pos="2700" w:leader="none"/>
          <w:tab w:val="left" w:pos="2790" w:leader="none"/>
          <w:tab w:val="left" w:pos="4500" w:leader="none"/>
          <w:tab w:val="left" w:pos="4860" w:leader="none"/>
          <w:tab w:val="left" w:pos="5220" w:leader="none"/>
          <w:tab w:val="left" w:pos="5580" w:leader="none"/>
        </w:tabs>
        <w:rPr>
          <w:rFonts w:ascii="Times New Roman" w:hAnsi="Times New Roman" w:cs="Times New Roman"/>
          <w:sz w:val="18"/>
        </w:rPr>
      </w:pPr>
      <w:r>
        <w:rPr>
          <w:rFonts w:cs="Times New Roman" w:ascii="Times New Roman" w:hAnsi="Times New Roman"/>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2250" w:leader="none"/>
          <w:tab w:val="left" w:pos="2700" w:leader="none"/>
          <w:tab w:val="left" w:pos="4680" w:leader="none"/>
        </w:tabs>
        <w:rPr/>
      </w:pPr>
      <w:r>
        <w:rPr>
          <w:rFonts w:cs="Times New Roman" w:ascii="Times New Roman" w:hAnsi="Times New Roman"/>
          <w:b/>
          <w:sz w:val="18"/>
        </w:rPr>
        <w:t xml:space="preserve">or </w:t>
      </w:r>
      <w:r>
        <w:rPr>
          <w:rFonts w:cs="Times New Roman" w:ascii="Times New Roman" w:hAnsi="Times New Roman"/>
          <w:sz w:val="18"/>
        </w:rPr>
        <w:t xml:space="preserve"> 3.)</w:t>
        <w:tab/>
      </w:r>
      <w:r>
        <w:rPr>
          <w:rFonts w:eastAsia="WP IconicSymbolsA" w:cs="WP IconicSymbolsA" w:ascii="WP IconicSymbolsA" w:hAnsi="WP IconicSymbolsA"/>
          <w:sz w:val="18"/>
        </w:rPr>
        <w:sym w:font="WP IconicSymbolsA" w:char="f094"/>
      </w:r>
      <w:r>
        <w:rPr>
          <w:rFonts w:cs="Times New Roman" w:ascii="Times New Roman" w:hAnsi="Times New Roman"/>
          <w:sz w:val="18"/>
        </w:rPr>
        <w:tab/>
        <w:t>Other: ________________________________________ x Quantity Scheduled by Transporter</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2250" w:leader="none"/>
          <w:tab w:val="left" w:pos="2700" w:leader="none"/>
          <w:tab w:val="left" w:pos="4680" w:leader="none"/>
        </w:tabs>
        <w:rPr>
          <w:rFonts w:ascii="Times New Roman" w:hAnsi="Times New Roman" w:cs="Times New Roman"/>
          <w:sz w:val="18"/>
        </w:rPr>
      </w:pPr>
      <w:r>
        <w:rPr>
          <w:rFonts w:cs="Times New Roman" w:ascii="Times New Roman" w:hAnsi="Times New Roman"/>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1980" w:leader="none"/>
          <w:tab w:val="left" w:pos="2700" w:leader="none"/>
          <w:tab w:val="left" w:pos="3240" w:leader="none"/>
          <w:tab w:val="left" w:pos="4140" w:leader="none"/>
          <w:tab w:val="left" w:pos="5130" w:leader="none"/>
        </w:tabs>
        <w:rPr/>
      </w:pPr>
      <w:r>
        <w:rPr>
          <w:rFonts w:cs="Times New Roman" w:ascii="Times New Roman" w:hAnsi="Times New Roman"/>
          <w:sz w:val="18"/>
          <w:u w:val="single"/>
        </w:rPr>
        <w:t>Gas Demand Charge</w:t>
      </w:r>
      <w:r>
        <w:rPr>
          <w:rFonts w:cs="Times New Roman" w:ascii="Times New Roman" w:hAnsi="Times New Roman"/>
          <w:sz w:val="18"/>
        </w:rPr>
        <w:t>:</w:t>
        <w:tab/>
        <w:t>Applicable:</w:t>
        <w:tab/>
        <w:t>____</w:t>
        <w:tab/>
        <w:t>____</w:t>
        <w:tab/>
        <w:t>Demand Rate: __________ /Dth</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1980" w:leader="none"/>
          <w:tab w:val="left" w:pos="2700" w:leader="none"/>
          <w:tab w:val="left" w:pos="3240" w:leader="none"/>
          <w:tab w:val="left" w:pos="4140" w:leader="none"/>
          <w:tab w:val="left" w:pos="4860" w:leader="none"/>
        </w:tabs>
        <w:rPr>
          <w:rFonts w:ascii="Times New Roman" w:hAnsi="Times New Roman" w:cs="Times New Roman"/>
          <w:sz w:val="18"/>
        </w:rPr>
      </w:pPr>
      <w:r>
        <w:rPr>
          <w:rFonts w:cs="Times New Roman" w:ascii="Times New Roman" w:hAnsi="Times New Roman"/>
          <w:sz w:val="18"/>
        </w:rPr>
        <w:tab/>
        <w:tab/>
        <w:tab/>
        <w:tab/>
        <w:tab/>
        <w:t xml:space="preserve"> Yes</w:t>
        <w:tab/>
        <w:t xml:space="preserve">  No</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1980" w:leader="none"/>
          <w:tab w:val="left" w:pos="2700" w:leader="none"/>
          <w:tab w:val="left" w:pos="3240" w:leader="none"/>
          <w:tab w:val="left" w:pos="4140" w:leader="none"/>
          <w:tab w:val="left" w:pos="4860" w:leader="none"/>
        </w:tabs>
        <w:rPr>
          <w:rFonts w:ascii="Times New Roman" w:hAnsi="Times New Roman" w:cs="Times New Roman"/>
          <w:sz w:val="18"/>
        </w:rPr>
      </w:pPr>
      <w:r>
        <w:rPr>
          <w:rFonts w:cs="Times New Roman" w:ascii="Times New Roman" w:hAnsi="Times New Roman"/>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540" w:leader="none"/>
          <w:tab w:val="left" w:pos="900" w:leader="none"/>
          <w:tab w:val="left" w:pos="1350" w:leader="none"/>
          <w:tab w:val="left" w:pos="2700" w:leader="none"/>
          <w:tab w:val="left" w:pos="3240" w:leader="none"/>
          <w:tab w:val="left" w:pos="4140" w:leader="none"/>
          <w:tab w:val="left" w:pos="4860" w:leader="none"/>
        </w:tabs>
        <w:rPr/>
      </w:pPr>
      <w:r>
        <w:rPr>
          <w:rFonts w:cs="Times New Roman" w:ascii="Times New Roman" w:hAnsi="Times New Roman"/>
          <w:sz w:val="18"/>
          <w:u w:val="single"/>
        </w:rPr>
        <w:t>Midpoint Price:</w:t>
      </w:r>
      <w:r>
        <w:rPr>
          <w:rFonts w:cs="Times New Roman" w:ascii="Times New Roman" w:hAnsi="Times New Roman"/>
          <w:sz w:val="18"/>
        </w:rPr>
        <w:tab/>
      </w:r>
      <w:r>
        <w:rPr>
          <w:rFonts w:cs="Times New Roman" w:ascii="Times New Roman" w:hAnsi="Times New Roman"/>
          <w:i/>
          <w:sz w:val="18"/>
        </w:rPr>
        <w:t>Gas Daily’s</w:t>
      </w:r>
      <w:r>
        <w:rPr>
          <w:rFonts w:cs="Times New Roman" w:ascii="Times New Roman" w:hAnsi="Times New Roman"/>
          <w:sz w:val="18"/>
        </w:rPr>
        <w:t xml:space="preserve"> “Daily Price Survey” for applicable Receipt Points.</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250" w:leader="none"/>
          <w:tab w:val="left" w:pos="2700" w:leader="none"/>
          <w:tab w:val="left" w:pos="4680" w:leader="none"/>
        </w:tabs>
        <w:rPr>
          <w:rFonts w:ascii="Times New Roman" w:hAnsi="Times New Roman" w:cs="Times New Roman"/>
          <w:sz w:val="18"/>
        </w:rPr>
      </w:pPr>
      <w:r>
        <w:rPr>
          <w:rFonts w:cs="Times New Roman" w:ascii="Times New Roman" w:hAnsi="Times New Roman"/>
          <w:sz w:val="18"/>
        </w:rPr>
      </w:r>
      <w:bookmarkStart w:id="16" w:name="OLE_LINK1"/>
      <w:bookmarkStart w:id="17" w:name="OLE_LINK1"/>
      <w:bookmarkEnd w:id="17"/>
    </w:p>
    <w:p>
      <w:pPr>
        <w:pStyle w:val="Normal"/>
        <w:tabs>
          <w:tab w:val="clear" w:pos="720"/>
          <w:tab w:val="left" w:pos="2250" w:leader="none"/>
          <w:tab w:val="left" w:pos="2700" w:leader="none"/>
          <w:tab w:val="left" w:pos="4680" w:leader="none"/>
        </w:tabs>
        <w:rPr>
          <w:rFonts w:ascii="Times New Roman" w:hAnsi="Times New Roman" w:cs="Times New Roman"/>
          <w:b/>
          <w:sz w:val="18"/>
        </w:rPr>
      </w:pPr>
      <w:r>
        <w:rPr>
          <w:rFonts w:cs="Times New Roman" w:ascii="Times New Roman" w:hAnsi="Times New Roman"/>
          <w:b/>
          <w:sz w:val="18"/>
        </w:rPr>
      </w:r>
    </w:p>
    <w:p>
      <w:pPr>
        <w:pStyle w:val="Normal"/>
        <w:tabs>
          <w:tab w:val="clear" w:pos="720"/>
          <w:tab w:val="left" w:pos="1440" w:leader="none"/>
          <w:tab w:val="left" w:pos="2700" w:leader="none"/>
          <w:tab w:val="left" w:pos="4140" w:leader="none"/>
          <w:tab w:val="left" w:pos="5130" w:leader="none"/>
        </w:tabs>
        <w:rPr>
          <w:rFonts w:ascii="Times New Roman" w:hAnsi="Times New Roman" w:cs="Times New Roman"/>
          <w:b/>
          <w:sz w:val="18"/>
        </w:rPr>
      </w:pPr>
      <w:r>
        <w:rPr>
          <w:rFonts w:cs="Times New Roman" w:ascii="Times New Roman" w:hAnsi="Times New Roman"/>
          <w:sz w:val="18"/>
        </w:rPr>
        <w:t>Delivery Term:</w:t>
        <w:tab/>
        <w:t>________________, 200__</w:t>
        <w:tab/>
        <w:t>through</w:t>
        <w:tab/>
        <w:t>________________, 200__</w:t>
      </w:r>
    </w:p>
    <w:p>
      <w:pPr>
        <w:pStyle w:val="Normal"/>
        <w:tabs>
          <w:tab w:val="clear" w:pos="720"/>
          <w:tab w:val="left" w:pos="2250" w:leader="none"/>
          <w:tab w:val="left" w:pos="2700" w:leader="none"/>
          <w:tab w:val="left" w:pos="4680" w:leader="none"/>
        </w:tabs>
        <w:rPr>
          <w:rFonts w:ascii="Times New Roman" w:hAnsi="Times New Roman" w:cs="Times New Roman"/>
          <w:b/>
          <w:sz w:val="18"/>
        </w:rPr>
      </w:pPr>
      <w:r>
        <w:rPr>
          <w:rFonts w:cs="Times New Roman" w:ascii="Times New Roman" w:hAnsi="Times New Roman"/>
          <w:b/>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250" w:leader="none"/>
          <w:tab w:val="left" w:pos="2700" w:leader="none"/>
          <w:tab w:val="left" w:pos="4680" w:leader="none"/>
        </w:tabs>
        <w:jc w:val="center"/>
        <w:rPr>
          <w:rFonts w:ascii="Times New Roman" w:hAnsi="Times New Roman" w:cs="Times New Roman"/>
          <w:b/>
          <w:sz w:val="18"/>
        </w:rPr>
      </w:pPr>
      <w:r>
        <w:rPr>
          <w:rFonts w:cs="Times New Roman" w:ascii="Times New Roman" w:hAnsi="Times New Roman"/>
          <w:b/>
          <w:sz w:val="18"/>
        </w:rPr>
        <w:t>POINTS OF RECEIPT</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250" w:leader="none"/>
          <w:tab w:val="left" w:pos="2700" w:leader="none"/>
          <w:tab w:val="left" w:pos="4680" w:leader="none"/>
        </w:tabs>
        <w:jc w:val="center"/>
        <w:rPr>
          <w:rFonts w:ascii="Times New Roman" w:hAnsi="Times New Roman" w:cs="Times New Roman"/>
          <w:b/>
          <w:sz w:val="18"/>
        </w:rPr>
      </w:pPr>
      <w:r>
        <w:rPr>
          <w:rFonts w:cs="Times New Roman" w:ascii="Times New Roman" w:hAnsi="Times New Roman"/>
          <w:b/>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Daily Transaction Quantity (“DTQ): _____ Dth/day</w:t>
        <w:tab/>
        <w:t>Receipt Points:</w:t>
        <w:tab/>
        <w:t>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ab/>
        <w:tab/>
        <w:tab/>
        <w:tab/>
        <w:t>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Pipeline:</w:t>
        <w:tab/>
        <w:t>_____________________</w:t>
        <w:tab/>
        <w:tab/>
        <w:t>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pPr>
      <w:r>
        <w:rPr>
          <w:rFonts w:cs="Times New Roman" w:ascii="Times New Roman" w:hAnsi="Times New Roman"/>
          <w:b/>
          <w:i/>
          <w:sz w:val="18"/>
        </w:rPr>
        <w:t>Special Conditions</w:t>
      </w:r>
      <w:r>
        <w:rPr>
          <w:rFonts w:cs="Times New Roman" w:ascii="Times New Roman" w:hAnsi="Times New Roman"/>
          <w:sz w:val="18"/>
        </w:rPr>
        <w:t>:</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______________________________________________________________________________________________________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______________________________________________________________________________________________________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t>______________________________________________________________________________________________________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900" w:leader="none"/>
          <w:tab w:val="left" w:pos="2250" w:leader="none"/>
          <w:tab w:val="left" w:pos="2700" w:leader="none"/>
          <w:tab w:val="left" w:pos="468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540" w:leader="none"/>
          <w:tab w:val="left" w:pos="2250" w:leader="none"/>
          <w:tab w:val="left" w:pos="2700" w:leader="none"/>
          <w:tab w:val="left" w:pos="4680" w:leader="none"/>
          <w:tab w:val="left" w:pos="522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540" w:leader="none"/>
          <w:tab w:val="left" w:pos="2250" w:leader="none"/>
          <w:tab w:val="left" w:pos="2700" w:leader="none"/>
          <w:tab w:val="left" w:pos="4680" w:leader="none"/>
          <w:tab w:val="left" w:pos="5220" w:leader="none"/>
          <w:tab w:val="left" w:pos="6120" w:leader="none"/>
        </w:tabs>
        <w:rPr>
          <w:rFonts w:ascii="Times New Roman" w:hAnsi="Times New Roman" w:cs="Times New Roman"/>
          <w:sz w:val="18"/>
        </w:rPr>
      </w:pPr>
      <w:r>
        <w:rPr>
          <w:rFonts w:cs="Times New Roman" w:ascii="Times New Roman" w:hAnsi="Times New Roman"/>
          <w:sz w:val="18"/>
        </w:rPr>
        <w:t>Seller:</w:t>
        <w:tab/>
        <w:t>______________________________________</w:t>
        <w:tab/>
        <w:t>NATIONAL FUEL GAS DISTRIBUTION CORPORATION</w:t>
      </w:r>
    </w:p>
    <w:p>
      <w:pPr>
        <w:pStyle w:val="Normal"/>
        <w:tabs>
          <w:tab w:val="clear" w:pos="720"/>
          <w:tab w:val="left" w:pos="540" w:leader="none"/>
          <w:tab w:val="left" w:pos="2250" w:leader="none"/>
          <w:tab w:val="left" w:pos="2700" w:leader="none"/>
          <w:tab w:val="left" w:pos="4680" w:leader="none"/>
          <w:tab w:val="left" w:pos="5220" w:leader="none"/>
          <w:tab w:val="left" w:pos="6120" w:leader="none"/>
        </w:tabs>
        <w:rPr>
          <w:rFonts w:ascii="Times New Roman" w:hAnsi="Times New Roman" w:cs="Times New Roman"/>
          <w:sz w:val="18"/>
        </w:rPr>
      </w:pPr>
      <w:r>
        <w:rPr>
          <w:rFonts w:cs="Times New Roman" w:ascii="Times New Roman" w:hAnsi="Times New Roman"/>
          <w:sz w:val="18"/>
        </w:rPr>
      </w:r>
    </w:p>
    <w:p>
      <w:pPr>
        <w:pStyle w:val="Normal"/>
        <w:tabs>
          <w:tab w:val="clear" w:pos="720"/>
          <w:tab w:val="left" w:pos="540" w:leader="none"/>
          <w:tab w:val="left" w:pos="2250" w:leader="none"/>
          <w:tab w:val="left" w:pos="2700" w:leader="none"/>
          <w:tab w:val="left" w:pos="4680" w:leader="none"/>
          <w:tab w:val="left" w:pos="5220" w:leader="none"/>
          <w:tab w:val="left" w:pos="6120" w:leader="none"/>
        </w:tabs>
        <w:spacing w:lineRule="atLeast" w:line="320"/>
        <w:rPr>
          <w:rFonts w:ascii="Times New Roman" w:hAnsi="Times New Roman" w:cs="Times New Roman"/>
          <w:sz w:val="18"/>
        </w:rPr>
      </w:pPr>
      <w:r>
        <w:rPr>
          <w:rFonts w:cs="Times New Roman" w:ascii="Times New Roman" w:hAnsi="Times New Roman"/>
          <w:sz w:val="18"/>
        </w:rPr>
        <w:t>By:</w:t>
        <w:tab/>
        <w:t>______________________________________</w:t>
        <w:tab/>
        <w:t>By:</w:t>
        <w:tab/>
        <w:t>__________________________________</w:t>
      </w:r>
    </w:p>
    <w:p>
      <w:pPr>
        <w:pStyle w:val="Normal"/>
        <w:tabs>
          <w:tab w:val="clear" w:pos="720"/>
          <w:tab w:val="left" w:pos="540" w:leader="none"/>
          <w:tab w:val="left" w:pos="2250" w:leader="none"/>
          <w:tab w:val="left" w:pos="2700" w:leader="none"/>
          <w:tab w:val="left" w:pos="4680" w:leader="none"/>
          <w:tab w:val="left" w:pos="5220" w:leader="none"/>
          <w:tab w:val="left" w:pos="6120" w:leader="none"/>
        </w:tabs>
        <w:spacing w:lineRule="atLeast" w:line="320"/>
        <w:rPr>
          <w:rFonts w:ascii="Times New Roman" w:hAnsi="Times New Roman" w:cs="Times New Roman"/>
          <w:sz w:val="18"/>
        </w:rPr>
      </w:pPr>
      <w:r>
        <w:rPr>
          <w:rFonts w:cs="Times New Roman" w:ascii="Times New Roman" w:hAnsi="Times New Roman"/>
          <w:sz w:val="18"/>
        </w:rPr>
        <w:t>Title:</w:t>
        <w:tab/>
        <w:t>______________________________________</w:t>
        <w:tab/>
        <w:t>Title:</w:t>
        <w:tab/>
        <w:t>Walter E. DeForest, Senior Vice President</w:t>
      </w:r>
    </w:p>
    <w:p>
      <w:pPr>
        <w:pStyle w:val="Normal"/>
        <w:widowControl/>
        <w:pBdr>
          <w:top w:val="single" w:sz="6" w:space="0" w:color="FFFFFF"/>
          <w:left w:val="single" w:sz="6" w:space="0" w:color="FFFFFF"/>
          <w:bottom w:val="single" w:sz="6" w:space="0" w:color="FFFFFF"/>
          <w:right w:val="single" w:sz="6" w:space="0" w:color="FFFFFF"/>
        </w:pBdr>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680" w:leader="none"/>
          <w:tab w:val="left" w:pos="5040" w:leader="none"/>
          <w:tab w:val="left" w:pos="5220" w:leader="none"/>
          <w:tab w:val="left" w:pos="6480" w:leader="none"/>
          <w:tab w:val="left" w:pos="7200" w:leader="none"/>
          <w:tab w:val="left" w:pos="7920" w:leader="none"/>
          <w:tab w:val="left" w:pos="8640" w:leader="none"/>
          <w:tab w:val="left" w:pos="9360" w:leader="none"/>
        </w:tabs>
        <w:spacing w:lineRule="atLeast" w:line="320"/>
        <w:jc w:val="both"/>
        <w:rPr>
          <w:rFonts w:ascii="Times New Roman" w:hAnsi="Times New Roman" w:cs="Times New Roman"/>
          <w:sz w:val="18"/>
        </w:rPr>
      </w:pPr>
      <w:r>
        <w:rPr>
          <w:rFonts w:cs="Times New Roman" w:ascii="Times New Roman" w:hAnsi="Times New Roman"/>
          <w:sz w:val="18"/>
        </w:rPr>
        <w:t>Date:</w:t>
        <w:tab/>
        <w:t>______________________________________</w:t>
        <w:tab/>
        <w:t>Date:</w:t>
        <w:tab/>
        <w:t>__________________________________</w:t>
      </w:r>
    </w:p>
    <w:sectPr>
      <w:footerReference w:type="default" r:id="rId7"/>
      <w:type w:val="nextPage"/>
      <w:pgSz w:w="12240" w:h="15840"/>
      <w:pgMar w:left="1440" w:right="1440" w:gutter="0" w:header="0" w:top="64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WP TypographicSymbols">
    <w:charset w:val="00" w:characterSet="windows-1252"/>
    <w:family w:val="auto"/>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s>
      <w:jc w:val="both"/>
      <w:rPr>
        <w:rFonts w:ascii="Times New Roman" w:hAnsi="Times New Roman" w:cs="Times New Roman"/>
        <w:sz w:val="20"/>
      </w:rPr>
    </w:pPr>
    <w:r>
      <w:rPr>
        <w:rFonts w:cs="Times New Roman" w:ascii="Times New Roman" w:hAnsi="Times New Roman"/>
        <w:sz w:val="20"/>
      </w:rPr>
      <w:t>No. MB 000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s>
      <w:jc w:val="both"/>
      <w:rPr>
        <w:rFonts w:ascii="Times New Roman" w:hAnsi="Times New Roman" w:cs="Times New Roman"/>
        <w:sz w:val="20"/>
      </w:rPr>
    </w:pPr>
    <w:r>
      <w:rPr>
        <w:rFonts w:cs="Times New Roman" w:ascii="Times New Roman" w:hAnsi="Times New Roman"/>
        <w:sz w:val="20"/>
      </w:rPr>
      <w:t>No. MB 000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s>
      <w:jc w:val="both"/>
      <w:rPr>
        <w:rFonts w:ascii="Times New Roman" w:hAnsi="Times New Roman" w:cs="Times New Roman"/>
        <w:sz w:val="20"/>
      </w:rPr>
    </w:pPr>
    <w:r>
      <w:rPr>
        <w:rFonts w:cs="Times New Roman" w:ascii="Times New Roman" w:hAnsi="Times New Roman"/>
        <w:sz w:val="20"/>
      </w:rPr>
      <w:t>No. MB 000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rFonts w:ascii="Times New Roman" w:hAnsi="Times New Roman" w:cs="Times New Roman"/>
      <w:b/>
      <w:lang w:eastAsia="en-CA"/>
    </w:rPr>
  </w:style>
  <w:style w:type="paragraph" w:styleId="Heading2">
    <w:name w:val="heading 2"/>
    <w:basedOn w:val="Normal"/>
    <w:next w:val="Normal"/>
    <w:qFormat/>
    <w:pPr>
      <w:keepNext w:val="true"/>
      <w:widowControl/>
      <w:numPr>
        <w:ilvl w:val="1"/>
        <w:numId w:val="1"/>
      </w:numPr>
      <w:pBdr>
        <w:top w:val="single" w:sz="6" w:space="1" w:color="000000" w:shadow="1"/>
        <w:left w:val="single" w:sz="6" w:space="1" w:color="000000" w:shadow="1"/>
        <w:bottom w:val="single" w:sz="6" w:space="1" w:color="000000" w:shadow="1"/>
        <w:right w:val="single" w:sz="6" w:space="1" w:color="000000" w:shadow="1"/>
      </w:pBdr>
      <w:tabs>
        <w:tab w:val="clear" w:pos="720"/>
        <w:tab w:val="left" w:pos="4680" w:leader="none"/>
      </w:tabs>
      <w:outlineLvl w:val="1"/>
    </w:pPr>
    <w:rPr>
      <w:rFonts w:ascii="Times New Roman" w:hAnsi="Times New Roman" w:cs="Times New Roman"/>
      <w:i/>
      <w:sz w:val="18"/>
      <w:lang w:eastAsia="en-CA"/>
    </w:rPr>
  </w:style>
  <w:style w:type="paragraph" w:styleId="Heading3">
    <w:name w:val="heading 3"/>
    <w:basedOn w:val="Normal"/>
    <w:next w:val="Normal"/>
    <w:qFormat/>
    <w:pPr>
      <w:keepNext w:val="true"/>
      <w:widowControl/>
      <w:numPr>
        <w:ilvl w:val="2"/>
        <w:numId w:val="1"/>
      </w:numPr>
      <w:jc w:val="both"/>
      <w:outlineLvl w:val="2"/>
    </w:pPr>
    <w:rPr>
      <w:rFonts w:ascii="Times New Roman" w:hAnsi="Times New Roman" w:cs="Times New Roman"/>
      <w:b/>
      <w:i/>
    </w:rPr>
  </w:style>
  <w:style w:type="character" w:styleId="DefaultParagraphFont">
    <w:name w:val="Default Paragraph Font"/>
    <w:qFormat/>
    <w:rPr/>
  </w:style>
  <w:style w:type="character" w:styleId="FootnoteCharacters">
    <w:name w:val="Footnote Characters"/>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rFonts w:ascii="Times New Roman" w:hAnsi="Times New Roman" w:cs="Times New Roman"/>
      <w:b/>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ind w:hanging="0" w:start="240" w:end="0"/>
    </w:pPr>
    <w:rPr/>
  </w:style>
  <w:style w:type="paragraph" w:styleId="TOC1">
    <w:name w:val="toc 1"/>
    <w:basedOn w:val="Normal"/>
    <w:pPr>
      <w:tabs>
        <w:tab w:val="left" w:pos="720" w:leader="none"/>
        <w:tab w:val="right" w:pos="9350" w:leader="dot"/>
      </w:tabs>
      <w:spacing w:lineRule="auto" w:line="360"/>
      <w:jc w:val="center"/>
      <w:outlineLvl w:val="0"/>
    </w:pPr>
    <w:rPr>
      <w:rFonts w:ascii="Times New Roman" w:hAnsi="Times New Roman" w:cs="Times New Roman"/>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0" w:start="0" w:end="0"/>
    </w:pPr>
    <w:rPr>
      <w:rFonts w:ascii="Times New Roman" w:hAnsi="Times New Roman" w:cs="Times New Roman"/>
    </w:rPr>
  </w:style>
  <w:style w:type="paragraph" w:styleId="BodyTextIndent2">
    <w:name w:val="Body Text Indent 2"/>
    <w:basedOn w:val="Normal"/>
    <w:qFormat/>
    <w:pPr>
      <w:widowControl/>
      <w:tabs>
        <w:tab w:val="clear" w:pos="720"/>
        <w:tab w:val="left" w:pos="-1440" w:leader="none"/>
        <w:tab w:val="left" w:pos="-720" w:leader="none"/>
        <w:tab w:val="left" w:pos="0" w:leader="none"/>
        <w:tab w:val="left" w:pos="600" w:leader="none"/>
        <w:tab w:val="left" w:pos="1560" w:leader="none"/>
        <w:tab w:val="left" w:pos="2280" w:leader="none"/>
        <w:tab w:val="left" w:pos="2520" w:leader="none"/>
        <w:tab w:val="left" w:pos="3120" w:leader="none"/>
        <w:tab w:val="left" w:pos="3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605" w:start="0" w:end="0"/>
    </w:pPr>
    <w:rPr>
      <w:rFonts w:ascii="Times New Roman" w:hAnsi="Times New Roman" w:cs="Times New Roman"/>
    </w:rPr>
  </w:style>
  <w:style w:type="paragraph" w:styleId="TOAHeading">
    <w:name w:val="TOA Heading"/>
    <w:basedOn w:val="Normal"/>
    <w:next w:val="Normal"/>
    <w:qFormat/>
    <w:pPr>
      <w:spacing w:before="120" w:after="0"/>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2000-08-01T11:04:00Z</dcterms:created>
  <dc:creator>Employee</dc:creator>
  <dc:description/>
  <dc:language>en-CA</dc:language>
  <cp:lastModifiedBy>Employee</cp:lastModifiedBy>
  <cp:lastPrinted>2000-09-28T11:07:00Z</cp:lastPrinted>
  <dcterms:modified xsi:type="dcterms:W3CDTF">2000-09-28T12:37:00Z</dcterms:modified>
  <cp:revision>21</cp:revision>
  <dc:subject/>
  <dc:title>Generic Standard Contract</dc:title>
</cp:coreProperties>
</file>