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 PUBLIC UTILITIES COMMISSION OF THE STATE OF CALIFORNIA</w:t>
      </w:r>
    </w:p>
    <w:p>
      <w:pPr>
        <w:pStyle w:val="Normal"/>
        <w:jc w:val="center"/>
        <w:rPr>
          <w:b/>
        </w:rPr>
      </w:pPr>
      <w:r>
        <w:rPr>
          <w:b/>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5328"/>
        <w:gridCol w:w="4248"/>
      </w:tblGrid>
      <w:tr>
        <w:trPr/>
        <w:tc>
          <w:tcPr>
            <w:tcW w:w="5328" w:type="dxa"/>
            <w:tcBorders>
              <w:bottom w:val="single" w:sz="4" w:space="0" w:color="000000"/>
            </w:tcBorders>
          </w:tcPr>
          <w:p>
            <w:pPr>
              <w:pStyle w:val="Normal"/>
              <w:rPr/>
            </w:pPr>
            <w:r>
              <w:rPr/>
              <w:t>ENRON ENERGY SERVICES, INC. and ENRON</w:t>
            </w:r>
          </w:p>
          <w:p>
            <w:pPr>
              <w:pStyle w:val="Normal"/>
              <w:rPr/>
            </w:pPr>
            <w:r>
              <w:rPr/>
              <w:t>ENERGY MARKETING CORP.,</w:t>
            </w:r>
          </w:p>
          <w:p>
            <w:pPr>
              <w:pStyle w:val="Normal"/>
              <w:rPr/>
            </w:pPr>
            <w:r>
              <w:rPr/>
            </w:r>
          </w:p>
          <w:p>
            <w:pPr>
              <w:pStyle w:val="Normal"/>
              <w:rPr/>
            </w:pPr>
            <w:r>
              <w:rPr/>
              <w:tab/>
              <w:tab/>
              <w:tab/>
              <w:tab/>
              <w:t>Complainants,</w:t>
            </w:r>
          </w:p>
          <w:p>
            <w:pPr>
              <w:pStyle w:val="Normal"/>
              <w:rPr/>
            </w:pPr>
            <w:r>
              <w:rPr/>
            </w:r>
          </w:p>
          <w:p>
            <w:pPr>
              <w:pStyle w:val="Normal"/>
              <w:rPr/>
            </w:pPr>
            <w:r>
              <w:rPr/>
              <w:tab/>
              <w:tab/>
              <w:t>vs.</w:t>
            </w:r>
          </w:p>
          <w:p>
            <w:pPr>
              <w:pStyle w:val="Normal"/>
              <w:rPr/>
            </w:pPr>
            <w:r>
              <w:rPr/>
            </w:r>
          </w:p>
          <w:p>
            <w:pPr>
              <w:pStyle w:val="Normal"/>
              <w:rPr/>
            </w:pPr>
            <w:r>
              <w:rPr/>
              <w:t>SOUTHERN CALIFORNIA EDISON</w:t>
            </w:r>
          </w:p>
          <w:p>
            <w:pPr>
              <w:pStyle w:val="Normal"/>
              <w:rPr/>
            </w:pPr>
            <w:r>
              <w:rPr/>
              <w:t>COMPANY,</w:t>
            </w:r>
          </w:p>
          <w:p>
            <w:pPr>
              <w:pStyle w:val="Normal"/>
              <w:rPr/>
            </w:pPr>
            <w:r>
              <w:rPr/>
            </w:r>
          </w:p>
          <w:p>
            <w:pPr>
              <w:pStyle w:val="Normal"/>
              <w:rPr/>
            </w:pPr>
            <w:r>
              <w:rPr/>
              <w:tab/>
              <w:tab/>
              <w:tab/>
              <w:tab/>
              <w:t>Defendant.</w:t>
            </w:r>
          </w:p>
          <w:p>
            <w:pPr>
              <w:pStyle w:val="Normal"/>
              <w:rPr/>
            </w:pPr>
            <w:r>
              <w:rPr/>
            </w:r>
          </w:p>
        </w:tc>
        <w:tc>
          <w:tcPr>
            <w:tcW w:w="4248" w:type="dxa"/>
            <w:tcBorders>
              <w:start w:val="single" w:sz="4" w:space="0" w:color="000000"/>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tab/>
              <w:t>Case No. 01-01-029</w:t>
            </w:r>
          </w:p>
          <w:p>
            <w:pPr>
              <w:pStyle w:val="Normal"/>
              <w:rPr>
                <w:b/>
              </w:rPr>
            </w:pPr>
            <w:r>
              <w:rPr>
                <w:b/>
              </w:rPr>
            </w:r>
          </w:p>
        </w:tc>
      </w:tr>
      <w:tr>
        <w:trPr/>
        <w:tc>
          <w:tcPr>
            <w:tcW w:w="5328" w:type="dxa"/>
            <w:tcBorders>
              <w:top w:val="single" w:sz="4" w:space="0" w:color="000000"/>
              <w:bottom w:val="single" w:sz="4" w:space="0" w:color="000000"/>
            </w:tcBorders>
          </w:tcPr>
          <w:p>
            <w:pPr>
              <w:pStyle w:val="Normal"/>
              <w:snapToGrid w:val="false"/>
              <w:rPr>
                <w:b/>
              </w:rPr>
            </w:pPr>
            <w:r>
              <w:rPr>
                <w:b/>
              </w:rPr>
            </w:r>
          </w:p>
          <w:p>
            <w:pPr>
              <w:pStyle w:val="Normal"/>
              <w:rPr/>
            </w:pPr>
            <w:r>
              <w:rPr/>
              <w:t>ENRON ENERGY SERVICES, INC. and ENRON</w:t>
            </w:r>
          </w:p>
          <w:p>
            <w:pPr>
              <w:pStyle w:val="Normal"/>
              <w:rPr/>
            </w:pPr>
            <w:r>
              <w:rPr/>
              <w:t>ENERGY MARKETING CORP.,</w:t>
            </w:r>
          </w:p>
          <w:p>
            <w:pPr>
              <w:pStyle w:val="Normal"/>
              <w:rPr/>
            </w:pPr>
            <w:r>
              <w:rPr/>
            </w:r>
          </w:p>
          <w:p>
            <w:pPr>
              <w:pStyle w:val="Normal"/>
              <w:rPr/>
            </w:pPr>
            <w:r>
              <w:rPr/>
              <w:tab/>
              <w:tab/>
              <w:tab/>
              <w:tab/>
              <w:t>Complainants,</w:t>
            </w:r>
          </w:p>
          <w:p>
            <w:pPr>
              <w:pStyle w:val="Normal"/>
              <w:rPr/>
            </w:pPr>
            <w:r>
              <w:rPr/>
            </w:r>
          </w:p>
          <w:p>
            <w:pPr>
              <w:pStyle w:val="Normal"/>
              <w:rPr/>
            </w:pPr>
            <w:r>
              <w:rPr/>
            </w:r>
          </w:p>
          <w:p>
            <w:pPr>
              <w:pStyle w:val="Normal"/>
              <w:rPr/>
            </w:pPr>
            <w:r>
              <w:rPr/>
              <w:tab/>
              <w:tab/>
              <w:t>vs.</w:t>
            </w:r>
          </w:p>
          <w:p>
            <w:pPr>
              <w:pStyle w:val="Normal"/>
              <w:rPr/>
            </w:pPr>
            <w:r>
              <w:rPr/>
            </w:r>
          </w:p>
          <w:p>
            <w:pPr>
              <w:pStyle w:val="Normal"/>
              <w:rPr/>
            </w:pPr>
            <w:r>
              <w:rPr/>
              <w:t>PACIFIC GAS AND ELECTRIC COMPANY,</w:t>
            </w:r>
          </w:p>
          <w:p>
            <w:pPr>
              <w:pStyle w:val="Normal"/>
              <w:rPr/>
            </w:pPr>
            <w:r>
              <w:rPr/>
            </w:r>
          </w:p>
          <w:p>
            <w:pPr>
              <w:pStyle w:val="Normal"/>
              <w:rPr/>
            </w:pPr>
            <w:r>
              <w:rPr/>
              <w:tab/>
              <w:tab/>
              <w:tab/>
              <w:tab/>
              <w:t>Defendant.</w:t>
            </w:r>
          </w:p>
          <w:p>
            <w:pPr>
              <w:pStyle w:val="Normal"/>
              <w:rPr/>
            </w:pPr>
            <w:r>
              <w:rPr/>
            </w:r>
          </w:p>
        </w:tc>
        <w:tc>
          <w:tcPr>
            <w:tcW w:w="4248" w:type="dxa"/>
            <w:tcBorders>
              <w:start w:val="single" w:sz="4" w:space="0" w:color="000000"/>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tab/>
              <w:t>Case No. 01-01-032</w:t>
            </w:r>
          </w:p>
        </w:tc>
      </w:tr>
      <w:tr>
        <w:trPr/>
        <w:tc>
          <w:tcPr>
            <w:tcW w:w="5328" w:type="dxa"/>
            <w:tcBorders>
              <w:top w:val="single" w:sz="4" w:space="0" w:color="000000"/>
              <w:bottom w:val="single" w:sz="4" w:space="0" w:color="000000"/>
            </w:tcBorders>
          </w:tcPr>
          <w:p>
            <w:pPr>
              <w:pStyle w:val="Normal"/>
              <w:snapToGrid w:val="false"/>
              <w:rPr>
                <w:b/>
              </w:rPr>
            </w:pPr>
            <w:r>
              <w:rPr>
                <w:b/>
              </w:rPr>
            </w:r>
          </w:p>
          <w:p>
            <w:pPr>
              <w:pStyle w:val="Normal"/>
              <w:rPr/>
            </w:pPr>
            <w:r>
              <w:rPr/>
              <w:t>APS ENERGY SERVICES COMPANY, INC.,</w:t>
            </w:r>
          </w:p>
          <w:p>
            <w:pPr>
              <w:pStyle w:val="Normal"/>
              <w:rPr/>
            </w:pPr>
            <w:r>
              <w:rPr/>
            </w:r>
          </w:p>
          <w:p>
            <w:pPr>
              <w:pStyle w:val="Normal"/>
              <w:rPr/>
            </w:pPr>
            <w:r>
              <w:rPr/>
              <w:tab/>
              <w:tab/>
              <w:tab/>
              <w:tab/>
              <w:t>Complainant,</w:t>
            </w:r>
          </w:p>
          <w:p>
            <w:pPr>
              <w:pStyle w:val="Normal"/>
              <w:rPr/>
            </w:pPr>
            <w:r>
              <w:rPr/>
            </w:r>
          </w:p>
          <w:p>
            <w:pPr>
              <w:pStyle w:val="Normal"/>
              <w:rPr/>
            </w:pPr>
            <w:r>
              <w:rPr/>
            </w:r>
          </w:p>
          <w:p>
            <w:pPr>
              <w:pStyle w:val="Normal"/>
              <w:rPr/>
            </w:pPr>
            <w:r>
              <w:rPr/>
              <w:tab/>
              <w:tab/>
              <w:t>vs.</w:t>
            </w:r>
          </w:p>
          <w:p>
            <w:pPr>
              <w:pStyle w:val="Normal"/>
              <w:rPr/>
            </w:pPr>
            <w:r>
              <w:rPr/>
            </w:r>
          </w:p>
          <w:p>
            <w:pPr>
              <w:pStyle w:val="Normal"/>
              <w:rPr/>
            </w:pPr>
            <w:r>
              <w:rPr/>
              <w:t>PACIFIC GAS AND ELECTRIC COMPANY,</w:t>
            </w:r>
          </w:p>
          <w:p>
            <w:pPr>
              <w:pStyle w:val="Normal"/>
              <w:rPr/>
            </w:pPr>
            <w:r>
              <w:rPr/>
            </w:r>
          </w:p>
          <w:p>
            <w:pPr>
              <w:pStyle w:val="Normal"/>
              <w:rPr/>
            </w:pPr>
            <w:r>
              <w:rPr/>
              <w:tab/>
              <w:tab/>
              <w:tab/>
              <w:tab/>
              <w:t>Defendant.</w:t>
            </w:r>
          </w:p>
          <w:p>
            <w:pPr>
              <w:pStyle w:val="Normal"/>
              <w:rPr/>
            </w:pPr>
            <w:r>
              <w:rPr/>
            </w:r>
          </w:p>
        </w:tc>
        <w:tc>
          <w:tcPr>
            <w:tcW w:w="4248" w:type="dxa"/>
            <w:tcBorders>
              <w:start w:val="single" w:sz="4" w:space="0" w:color="000000"/>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b/>
              </w:rPr>
              <w:tab/>
            </w:r>
            <w:r>
              <w:rPr/>
              <w:t>Case No. 01-01-051</w:t>
            </w:r>
          </w:p>
        </w:tc>
      </w:tr>
      <w:tr>
        <w:trPr/>
        <w:tc>
          <w:tcPr>
            <w:tcW w:w="5328" w:type="dxa"/>
            <w:tcBorders>
              <w:top w:val="single" w:sz="4" w:space="0" w:color="000000"/>
              <w:bottom w:val="single" w:sz="4" w:space="0" w:color="000000"/>
            </w:tcBorders>
          </w:tcPr>
          <w:p>
            <w:pPr>
              <w:pStyle w:val="Normal"/>
              <w:snapToGrid w:val="false"/>
              <w:rPr>
                <w:b/>
              </w:rPr>
            </w:pPr>
            <w:r>
              <w:rPr>
                <w:b/>
              </w:rPr>
            </w:r>
          </w:p>
          <w:p>
            <w:pPr>
              <w:pStyle w:val="Normal"/>
              <w:rPr/>
            </w:pPr>
            <w:r>
              <w:rPr/>
              <w:t>APS ENERGY SERVICES COMPANY, INC.,</w:t>
            </w:r>
          </w:p>
          <w:p>
            <w:pPr>
              <w:pStyle w:val="Normal"/>
              <w:rPr/>
            </w:pPr>
            <w:r>
              <w:rPr/>
            </w:r>
          </w:p>
          <w:p>
            <w:pPr>
              <w:pStyle w:val="Normal"/>
              <w:rPr/>
            </w:pPr>
            <w:r>
              <w:rPr/>
              <w:tab/>
              <w:tab/>
              <w:tab/>
              <w:tab/>
              <w:t>Complainant,</w:t>
            </w:r>
          </w:p>
          <w:p>
            <w:pPr>
              <w:pStyle w:val="Normal"/>
              <w:rPr/>
            </w:pPr>
            <w:r>
              <w:rPr/>
            </w:r>
          </w:p>
          <w:p>
            <w:pPr>
              <w:pStyle w:val="Normal"/>
              <w:rPr/>
            </w:pPr>
            <w:r>
              <w:rPr/>
              <w:tab/>
              <w:tab/>
              <w:t>vs.</w:t>
            </w:r>
          </w:p>
          <w:p>
            <w:pPr>
              <w:pStyle w:val="Normal"/>
              <w:rPr/>
            </w:pPr>
            <w:r>
              <w:rPr/>
            </w:r>
          </w:p>
          <w:p>
            <w:pPr>
              <w:pStyle w:val="Normal"/>
              <w:rPr/>
            </w:pPr>
            <w:r>
              <w:rPr/>
              <w:t>SOUTHERN CALIFORNIA EDISON</w:t>
            </w:r>
          </w:p>
          <w:p>
            <w:pPr>
              <w:pStyle w:val="Normal"/>
              <w:rPr/>
            </w:pPr>
            <w:r>
              <w:rPr/>
              <w:t>COMPANY,</w:t>
            </w:r>
          </w:p>
          <w:p>
            <w:pPr>
              <w:pStyle w:val="Normal"/>
              <w:rPr/>
            </w:pPr>
            <w:r>
              <w:rPr/>
            </w:r>
          </w:p>
          <w:p>
            <w:pPr>
              <w:pStyle w:val="Normal"/>
              <w:rPr/>
            </w:pPr>
            <w:r>
              <w:rPr/>
              <w:tab/>
              <w:tab/>
              <w:tab/>
              <w:tab/>
              <w:t>Defendant.</w:t>
            </w:r>
          </w:p>
          <w:p>
            <w:pPr>
              <w:pStyle w:val="Normal"/>
              <w:rPr/>
            </w:pPr>
            <w:r>
              <w:rPr/>
            </w:r>
          </w:p>
        </w:tc>
        <w:tc>
          <w:tcPr>
            <w:tcW w:w="4248" w:type="dxa"/>
            <w:tcBorders>
              <w:start w:val="single" w:sz="4" w:space="0" w:color="000000"/>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b/>
              </w:rPr>
              <w:tab/>
            </w:r>
            <w:r>
              <w:rPr/>
              <w:t>Case No. 01-02-031</w:t>
            </w:r>
          </w:p>
        </w:tc>
      </w:tr>
      <w:tr>
        <w:trPr/>
        <w:tc>
          <w:tcPr>
            <w:tcW w:w="5328" w:type="dxa"/>
            <w:tcBorders>
              <w:top w:val="single" w:sz="4" w:space="0" w:color="000000"/>
              <w:bottom w:val="single" w:sz="4" w:space="0" w:color="000000"/>
            </w:tcBorders>
          </w:tcPr>
          <w:p>
            <w:pPr>
              <w:pStyle w:val="Normal"/>
              <w:snapToGrid w:val="false"/>
              <w:rPr>
                <w:b/>
              </w:rPr>
            </w:pPr>
            <w:r>
              <w:rPr>
                <w:b/>
              </w:rPr>
            </w:r>
          </w:p>
          <w:p>
            <w:pPr>
              <w:pStyle w:val="Normal"/>
              <w:rPr/>
            </w:pPr>
            <w:r>
              <w:rPr/>
              <w:t>ABAG PUBLICLY OWNED ENERGY</w:t>
            </w:r>
          </w:p>
          <w:p>
            <w:pPr>
              <w:pStyle w:val="Normal"/>
              <w:rPr/>
            </w:pPr>
            <w:r>
              <w:rPr/>
              <w:t>RESOURCES,</w:t>
            </w:r>
          </w:p>
          <w:p>
            <w:pPr>
              <w:pStyle w:val="Normal"/>
              <w:rPr/>
            </w:pPr>
            <w:r>
              <w:rPr/>
            </w:r>
          </w:p>
          <w:p>
            <w:pPr>
              <w:pStyle w:val="Normal"/>
              <w:rPr/>
            </w:pPr>
            <w:r>
              <w:rPr/>
              <w:tab/>
              <w:tab/>
              <w:tab/>
              <w:tab/>
              <w:t>Complainant,</w:t>
            </w:r>
          </w:p>
          <w:p>
            <w:pPr>
              <w:pStyle w:val="Normal"/>
              <w:rPr/>
            </w:pPr>
            <w:r>
              <w:rPr/>
            </w:r>
          </w:p>
          <w:p>
            <w:pPr>
              <w:pStyle w:val="Normal"/>
              <w:rPr/>
            </w:pPr>
            <w:r>
              <w:rPr/>
            </w:r>
          </w:p>
          <w:p>
            <w:pPr>
              <w:pStyle w:val="Normal"/>
              <w:rPr/>
            </w:pPr>
            <w:r>
              <w:rPr/>
              <w:tab/>
              <w:tab/>
              <w:t>vs.</w:t>
            </w:r>
          </w:p>
          <w:p>
            <w:pPr>
              <w:pStyle w:val="Normal"/>
              <w:rPr/>
            </w:pPr>
            <w:r>
              <w:rPr/>
            </w:r>
          </w:p>
          <w:p>
            <w:pPr>
              <w:pStyle w:val="Normal"/>
              <w:rPr/>
            </w:pPr>
            <w:r>
              <w:rPr/>
              <w:t>PACIFIC GAS AND ELECTRIC COMPANY,</w:t>
            </w:r>
          </w:p>
          <w:p>
            <w:pPr>
              <w:pStyle w:val="Normal"/>
              <w:rPr/>
            </w:pPr>
            <w:r>
              <w:rPr/>
            </w:r>
          </w:p>
          <w:p>
            <w:pPr>
              <w:pStyle w:val="Normal"/>
              <w:rPr/>
            </w:pPr>
            <w:r>
              <w:rPr/>
              <w:tab/>
              <w:tab/>
              <w:tab/>
              <w:tab/>
              <w:t>Defendant.</w:t>
            </w:r>
          </w:p>
          <w:p>
            <w:pPr>
              <w:pStyle w:val="Normal"/>
              <w:rPr/>
            </w:pPr>
            <w:r>
              <w:rPr/>
            </w:r>
          </w:p>
        </w:tc>
        <w:tc>
          <w:tcPr>
            <w:tcW w:w="4248" w:type="dxa"/>
            <w:tcBorders>
              <w:start w:val="single" w:sz="4" w:space="0" w:color="000000"/>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tab/>
              <w:t>Case No. 01-03-001</w:t>
            </w:r>
          </w:p>
        </w:tc>
      </w:tr>
    </w:tbl>
    <w:p>
      <w:pPr>
        <w:pStyle w:val="Normal"/>
        <w:jc w:val="center"/>
        <w:rPr>
          <w:b/>
        </w:rPr>
      </w:pPr>
      <w:r>
        <w:rPr>
          <w:b/>
        </w:rPr>
      </w:r>
    </w:p>
    <w:p>
      <w:pPr>
        <w:pStyle w:val="Normal"/>
        <w:rPr>
          <w:b/>
        </w:rPr>
      </w:pPr>
      <w:r>
        <w:rPr>
          <w:b/>
        </w:rPr>
      </w:r>
    </w:p>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STIPULATION STAYING FURTHER PROCEEDINGS IN CASE NOS. 01-01-029 AND 01-02-031 UNTIL JUNE 15, 2001</w:t>
      </w:r>
    </w:p>
    <w:p>
      <w:pPr>
        <w:pStyle w:val="Normal"/>
        <w:rPr>
          <w:b/>
        </w:rPr>
      </w:pPr>
      <w:r>
        <w:rPr>
          <w:b/>
        </w:rPr>
      </w:r>
    </w:p>
    <w:p>
      <w:pPr>
        <w:pStyle w:val="Normal"/>
        <w:spacing w:lineRule="auto" w:line="480"/>
        <w:rPr/>
      </w:pPr>
      <w:r>
        <w:rPr/>
        <w:tab/>
        <w:t>In view of recent developments, Southern California Edison Company (“SCE”), Enron Energy Services, Inc. and Enron Energy Marketing Corp. (“Enron ESPs”) and APS Energy Services Company, Inc. (“APS”) (together, “Stipulating Parties”) have agreed to request that the assigned Administrative Law Judge (“ALJ”) stay further proceedings in Case Nos. 01-01-029 and 01-02-031 until June 15, 2001.</w:t>
      </w:r>
    </w:p>
    <w:p>
      <w:pPr>
        <w:pStyle w:val="Normal"/>
        <w:spacing w:lineRule="auto" w:line="480"/>
        <w:rPr/>
      </w:pPr>
      <w:r>
        <w:rPr/>
        <w:tab/>
        <w:t>On April 5, 2001, SCE filed with the California Public Utilities Commission (“Commission”) Advice Letter No. 1529-E which proposes the use of a procured energy (“PE”) cost calculation for certain purposes including the calculation of energy credits for direct access customers from and after January 19, 2001 (“PE Advice Letter”).   On April 9, 2001, SCE and the California Department of Water Resources entered into a Memorandum of Understanding (“MOU”).  If the MOU is implemented and the PE Advice Letter adopted, SCE will commit to pay the energy credit to the Enron ESPs and APS using the methodology it employed up to January 5, 2001 for energy provided to direct access customers of those ESPs through and including</w:t>
      </w:r>
      <w:ins w:id="0" w:author="charles read" w:date="2001-04-18T16:11:00Z">
        <w:r>
          <w:rPr/>
          <w:t xml:space="preserve"> </w:t>
        </w:r>
      </w:ins>
      <w:del w:id="1" w:author="charles read" w:date="2001-04-18T16:12:00Z">
        <w:r>
          <w:rPr/>
          <w:delText>through and including</w:delText>
        </w:r>
      </w:del>
      <w:r>
        <w:rPr/>
        <w:t xml:space="preserve"> January 18, 2001.  If the MOU is implemented and the PE Advice Letter adopted, SCE will further commit that it will calculate and pay the energy credit to the Enron ESPs and APS using the PE </w:t>
      </w:r>
      <w:ins w:id="2" w:author="charles read" w:date="2001-04-18T16:13:00Z">
        <w:r>
          <w:rPr/>
          <w:t xml:space="preserve">cost calculation </w:t>
        </w:r>
      </w:ins>
      <w:r>
        <w:rPr/>
        <w:t xml:space="preserve">contained in the PE Advice Letter for </w:t>
      </w:r>
      <w:del w:id="3" w:author="charles read" w:date="2001-04-18T16:14:00Z">
        <w:r>
          <w:rPr/>
          <w:delText>the period</w:delText>
        </w:r>
      </w:del>
      <w:ins w:id="4" w:author="charles read" w:date="2001-04-18T16:14:00Z">
        <w:r>
          <w:rPr/>
          <w:t xml:space="preserve"> </w:t>
        </w:r>
      </w:ins>
      <w:r>
        <w:rPr/>
        <w:t>the period commencing on</w:t>
      </w:r>
      <w:ins w:id="5" w:author="charles read" w:date="2001-04-18T16:14:00Z">
        <w:r>
          <w:rPr/>
          <w:t xml:space="preserve"> </w:t>
        </w:r>
      </w:ins>
      <w:r>
        <w:rPr/>
        <w:t xml:space="preserve">January 19, 2001 and ending on the date fixed by the Commission or reviewing court as the end date of the rate freeze. </w:t>
      </w:r>
    </w:p>
    <w:p>
      <w:pPr>
        <w:pStyle w:val="Normal"/>
        <w:spacing w:lineRule="auto" w:line="480"/>
        <w:ind w:firstLine="720" w:end="0"/>
        <w:rPr/>
      </w:pPr>
      <w:r>
        <w:rPr/>
        <w:t xml:space="preserve"> </w:t>
      </w:r>
      <w:r>
        <w:rPr/>
        <w:t>Based on these SCE commitments,  the Enron ESPs and APS are willing to agree to a stay of all proceedings in Case Nos. 01-01-029 and 01-02-031 until June 15, 2001.  The Stipulating Parties believe that by that date, they should know whether the MOU will be implemented and the PE Advice Letter adopted in ways satisfactory to SCE.  If so, the Stipulating Parties believe that they will be in a position promptly to execute an agreement dismissing Case Nos. 01-01-029 and 01-02-031.  If the MOU is not implemented or the PE Advice Letter in not adopted in ways satisfactory to SCE, SCE will notify the Enron ESPs and APS on or before June 11, 2001.  Such notice will end the stay effective on June 15, 2001, and litigation of these cases will resume upon a schedule established by the assigned ALJ.</w:t>
      </w:r>
    </w:p>
    <w:p>
      <w:pPr>
        <w:pStyle w:val="Normal"/>
        <w:spacing w:lineRule="auto" w:line="480"/>
        <w:ind w:firstLine="720" w:end="0"/>
        <w:rPr/>
      </w:pPr>
      <w:r>
        <w:rPr/>
        <w:t>Given the scope and complexities associated with the implementation of the MOU, the Stipulating Parties recognize that they may agree that it is in their mutual best interest to extend the termination date of the stay.  If so, the Stipulating Parties agree to notify the assigned ALJ no later than June 11, 2001 and request that he enter an order extending the stay to a later date acceptable to the Stipulating Parties.</w:t>
      </w:r>
    </w:p>
    <w:p>
      <w:pPr>
        <w:pStyle w:val="Normal"/>
        <w:spacing w:lineRule="auto" w:line="480"/>
        <w:ind w:firstLine="720" w:end="0"/>
        <w:rPr>
          <w:ins w:id="6" w:author="charles read" w:date="2001-04-18T12:39:00Z"/>
        </w:rPr>
      </w:pPr>
      <w:r>
        <w:rPr/>
        <w:t>The Stipulating Parties recognize that if this stay is put into effect, it may be difficult or impossible for the Commission to render a final decision within 12 months of the filing of these cases pursuant to Public Utilities Code section 1701.2 (d).  Therefore, the Stipulating Parties hereby agree that there is a basis for the Commission to issue the order described in section 1701.2(d) extending the 12-month deadline if necessary.</w:t>
      </w:r>
    </w:p>
    <w:p>
      <w:pPr>
        <w:pStyle w:val="Normal"/>
        <w:spacing w:lineRule="auto" w:line="480"/>
        <w:ind w:firstLine="720" w:end="0"/>
        <w:rPr/>
      </w:pPr>
      <w:ins w:id="7" w:author="charles read" w:date="2001-04-18T12:46:00Z">
        <w:r>
          <w:rPr/>
          <w:t>T</w:t>
        </w:r>
      </w:ins>
      <w:ins w:id="8" w:author="charles read" w:date="2001-04-18T12:39:00Z">
        <w:r>
          <w:rPr/>
          <w:t>his Stipulation</w:t>
        </w:r>
      </w:ins>
      <w:ins w:id="9" w:author="charles read" w:date="2001-04-18T12:46:00Z">
        <w:r>
          <w:rPr/>
          <w:t xml:space="preserve"> does not limit or restrict the</w:t>
        </w:r>
      </w:ins>
      <w:ins w:id="10" w:author="charles read" w:date="2001-04-18T12:49:00Z">
        <w:r>
          <w:rPr/>
          <w:t xml:space="preserve"> right of </w:t>
        </w:r>
      </w:ins>
      <w:ins w:id="11" w:author="charles read" w:date="2001-04-18T12:52:00Z">
        <w:r>
          <w:rPr/>
          <w:t xml:space="preserve"> </w:t>
        </w:r>
      </w:ins>
      <w:ins w:id="12" w:author="charles read" w:date="2001-04-18T12:49:00Z">
        <w:r>
          <w:rPr/>
          <w:t xml:space="preserve">the </w:t>
        </w:r>
      </w:ins>
      <w:ins w:id="13" w:author="charles read" w:date="2001-04-18T12:47:00Z">
        <w:r>
          <w:rPr/>
          <w:t xml:space="preserve"> </w:t>
        </w:r>
      </w:ins>
      <w:ins w:id="14" w:author="charles read" w:date="2001-04-18T12:39:00Z">
        <w:r>
          <w:rPr/>
          <w:t xml:space="preserve">Enron ESPs </w:t>
        </w:r>
      </w:ins>
      <w:ins w:id="15" w:author="charles read" w:date="2001-04-18T12:47:00Z">
        <w:r>
          <w:rPr/>
          <w:t>or</w:t>
        </w:r>
      </w:ins>
      <w:ins w:id="16" w:author="charles read" w:date="2001-04-18T12:39:00Z">
        <w:r>
          <w:rPr/>
          <w:t xml:space="preserve"> APS </w:t>
        </w:r>
      </w:ins>
      <w:ins w:id="17" w:author="charles read" w:date="2001-04-18T12:49:00Z">
        <w:r>
          <w:rPr/>
          <w:t xml:space="preserve">to protest or otherwise respond to SCE’s PE Advice </w:t>
        </w:r>
      </w:ins>
      <w:ins w:id="18" w:author="charles read" w:date="2001-04-18T12:51:00Z">
        <w:r>
          <w:rPr/>
          <w:t>Letter.</w:t>
        </w:r>
      </w:ins>
    </w:p>
    <w:p>
      <w:pPr>
        <w:pStyle w:val="Normal"/>
        <w:spacing w:lineRule="auto" w:line="480"/>
        <w:ind w:firstLine="720" w:end="0"/>
        <w:rPr/>
      </w:pPr>
      <w:r>
        <w:rPr/>
        <w:t xml:space="preserve">This </w:t>
      </w:r>
      <w:del w:id="19" w:author="charles read" w:date="2001-04-18T12:51:00Z">
        <w:r>
          <w:rPr/>
          <w:delText>s</w:delText>
        </w:r>
      </w:del>
      <w:ins w:id="20" w:author="charles read" w:date="2001-04-18T12:51:00Z">
        <w:r>
          <w:rPr/>
          <w:t>S</w:t>
        </w:r>
      </w:ins>
      <w:r>
        <w:rPr/>
        <w:t>tipulation does not address the position of PG&amp;E that its filing of a Chapter 11 proceeding in federal bankruptcy court has the effect of staying proceedings in Case Nos. 01-01-032, 01-01-051 or 01-03-001.  The Stipulating Parties reserve their rights to respond to PG&amp;E’s position outside of this Stipulation.</w:t>
      </w:r>
    </w:p>
    <w:p>
      <w:pPr>
        <w:pStyle w:val="Normal"/>
        <w:spacing w:lineRule="auto" w:line="480"/>
        <w:ind w:firstLine="720" w:end="0"/>
        <w:rPr/>
      </w:pPr>
      <w:r>
        <w:rPr/>
        <w:t>The Enron ESPs and APS understand that if a settlement is entered into pursuant to this Stipulation, SCE’s First Counter-Complaint will be dismissed without prejudice to SCE asserting claims based in whole or in part on market power allegations in other proceedings before this Commission, the Federal Energy Regulatory Commission, state or federal court, or any other  court or agency.  The Enron ESPs and APS reserve all rights to challenge such allegations in those proceedings.</w:t>
      </w:r>
    </w:p>
    <w:p>
      <w:pPr>
        <w:pStyle w:val="Normal"/>
        <w:spacing w:lineRule="auto" w:line="480"/>
        <w:ind w:firstLine="720" w:end="0"/>
        <w:rPr/>
      </w:pPr>
      <w:r>
        <w:rPr/>
        <w:t>The Stipulating Parties respectfully request that the assigned ALJ enter an order implementing the terms of this Stipulation.</w:t>
      </w:r>
    </w:p>
    <w:p>
      <w:pPr>
        <w:pStyle w:val="Normal"/>
        <w:ind w:firstLine="720" w:start="3600" w:end="0"/>
        <w:rPr>
          <w:u w:val="single"/>
        </w:rPr>
      </w:pPr>
      <w:r>
        <w:rPr>
          <w:u w:val="single"/>
        </w:rPr>
      </w:r>
    </w:p>
    <w:p>
      <w:pPr>
        <w:pStyle w:val="Normal"/>
        <w:ind w:firstLine="720" w:start="2880" w:end="0"/>
        <w:rPr>
          <w:u w:val="single"/>
        </w:rPr>
      </w:pPr>
      <w:r>
        <w:rPr>
          <w:u w:val="single"/>
        </w:rPr>
        <w:tab/>
        <w:tab/>
        <w:tab/>
        <w:tab/>
        <w:tab/>
        <w:tab/>
        <w:tab/>
      </w:r>
    </w:p>
    <w:p>
      <w:pPr>
        <w:pStyle w:val="Normal"/>
        <w:ind w:firstLine="720" w:start="2880" w:end="0"/>
        <w:rPr/>
      </w:pPr>
      <w:r>
        <w:rPr/>
        <w:t>STEPTOE &amp; JOHNSON LLP</w:t>
      </w:r>
    </w:p>
    <w:p>
      <w:pPr>
        <w:pStyle w:val="Normal"/>
        <w:ind w:firstLine="720" w:start="2880" w:end="0"/>
        <w:rPr/>
      </w:pPr>
      <w:r>
        <w:rPr/>
        <w:t>Charles C. Read</w:t>
      </w:r>
    </w:p>
    <w:p>
      <w:pPr>
        <w:pStyle w:val="Normal"/>
        <w:ind w:firstLine="720" w:start="2880" w:end="0"/>
        <w:rPr/>
      </w:pPr>
      <w:r>
        <w:rPr/>
        <w:t>Richard L. Roberts</w:t>
      </w:r>
    </w:p>
    <w:p>
      <w:pPr>
        <w:pStyle w:val="Normal"/>
        <w:ind w:firstLine="720" w:start="2880" w:end="0"/>
        <w:rPr/>
      </w:pPr>
      <w:r>
        <w:rPr/>
        <w:t>1330 Connecticut Avenue, N.W.</w:t>
      </w:r>
    </w:p>
    <w:p>
      <w:pPr>
        <w:pStyle w:val="Normal"/>
        <w:ind w:firstLine="720" w:start="2880" w:end="0"/>
        <w:rPr/>
      </w:pPr>
      <w:r>
        <w:rPr/>
        <w:t>Washington, D.C.  20036</w:t>
      </w:r>
    </w:p>
    <w:p>
      <w:pPr>
        <w:pStyle w:val="Normal"/>
        <w:ind w:firstLine="720" w:start="2880" w:end="0"/>
        <w:rPr/>
      </w:pPr>
      <w:r>
        <w:rPr/>
        <w:t>Telephone:</w:t>
        <w:tab/>
        <w:t>(202) 429-3000</w:t>
      </w:r>
    </w:p>
    <w:p>
      <w:pPr>
        <w:pStyle w:val="Normal"/>
        <w:ind w:firstLine="720" w:start="2880" w:end="0"/>
        <w:rPr/>
      </w:pPr>
      <w:r>
        <w:rPr/>
        <w:t>Facsimile:</w:t>
        <w:tab/>
        <w:t>(202-429-3902</w:t>
      </w:r>
    </w:p>
    <w:p>
      <w:pPr>
        <w:pStyle w:val="Normal"/>
        <w:ind w:firstLine="720" w:start="2880" w:end="0"/>
        <w:rPr/>
      </w:pPr>
      <w:r>
        <w:rPr/>
      </w:r>
    </w:p>
    <w:p>
      <w:pPr>
        <w:pStyle w:val="Normal"/>
        <w:ind w:firstLine="720" w:start="2880" w:end="0"/>
        <w:rPr/>
      </w:pPr>
      <w:r>
        <w:rPr/>
      </w:r>
      <w:r>
        <w:br w:type="page"/>
      </w:r>
    </w:p>
    <w:p>
      <w:pPr>
        <w:pStyle w:val="Normal"/>
        <w:ind w:firstLine="720" w:start="2880" w:end="0"/>
        <w:rPr>
          <w:u w:val="single"/>
        </w:rPr>
      </w:pPr>
      <w:r>
        <w:rPr>
          <w:u w:val="single"/>
        </w:rPr>
      </w:r>
    </w:p>
    <w:p>
      <w:pPr>
        <w:pStyle w:val="Normal"/>
        <w:ind w:firstLine="720" w:start="2880" w:end="0"/>
        <w:rPr/>
      </w:pPr>
      <w:r>
        <w:rPr/>
        <w:t>SOUTHERN CALIFORNIA EDISON</w:t>
      </w:r>
    </w:p>
    <w:p>
      <w:pPr>
        <w:pStyle w:val="Normal"/>
        <w:ind w:firstLine="720" w:start="2880" w:end="0"/>
        <w:rPr/>
      </w:pPr>
      <w:r>
        <w:rPr/>
        <w:t>Megan Scott-Kakures</w:t>
      </w:r>
    </w:p>
    <w:p>
      <w:pPr>
        <w:pStyle w:val="Normal"/>
        <w:ind w:firstLine="720" w:start="2880" w:end="0"/>
        <w:rPr/>
      </w:pPr>
      <w:r>
        <w:rPr/>
        <w:t>Jennifer M. Tsao</w:t>
      </w:r>
    </w:p>
    <w:p>
      <w:pPr>
        <w:pStyle w:val="Normal"/>
        <w:ind w:firstLine="720" w:start="2880" w:end="0"/>
        <w:rPr/>
      </w:pPr>
      <w:r>
        <w:rPr/>
        <w:t>2244 Walnut Grove Avenue</w:t>
      </w:r>
    </w:p>
    <w:p>
      <w:pPr>
        <w:pStyle w:val="Normal"/>
        <w:ind w:firstLine="720" w:start="2880" w:end="0"/>
        <w:rPr/>
      </w:pPr>
      <w:r>
        <w:rPr/>
        <w:t>Rosemead, California  91770</w:t>
      </w:r>
    </w:p>
    <w:p>
      <w:pPr>
        <w:pStyle w:val="Normal"/>
        <w:ind w:firstLine="720" w:start="2880" w:end="0"/>
        <w:rPr/>
      </w:pPr>
      <w:r>
        <w:rPr/>
        <w:t>Telephone:</w:t>
        <w:tab/>
        <w:t>(626) 302-6819</w:t>
      </w:r>
    </w:p>
    <w:p>
      <w:pPr>
        <w:pStyle w:val="Normal"/>
        <w:ind w:firstLine="720" w:start="2880" w:end="0"/>
        <w:rPr/>
      </w:pPr>
      <w:r>
        <w:rPr/>
        <w:t>Facsimile:</w:t>
        <w:tab/>
        <w:t>(626) 302-2050</w:t>
      </w:r>
    </w:p>
    <w:p>
      <w:pPr>
        <w:pStyle w:val="Normal"/>
        <w:ind w:firstLine="720" w:start="2880" w:end="0"/>
        <w:rPr/>
      </w:pPr>
      <w:r>
        <w:rPr/>
      </w:r>
    </w:p>
    <w:p>
      <w:pPr>
        <w:pStyle w:val="Normal"/>
        <w:ind w:firstLine="720" w:start="2880" w:end="0"/>
        <w:rPr/>
      </w:pPr>
      <w:r>
        <w:rPr/>
        <w:t>Attorneys for Southern California Edison Company</w:t>
      </w:r>
    </w:p>
    <w:p>
      <w:pPr>
        <w:pStyle w:val="Normal"/>
        <w:ind w:firstLine="720" w:start="2880" w:end="0"/>
        <w:rPr/>
      </w:pPr>
      <w:r>
        <w:rPr/>
      </w:r>
    </w:p>
    <w:p>
      <w:pPr>
        <w:pStyle w:val="Normal"/>
        <w:ind w:firstLine="720" w:start="2880" w:end="0"/>
        <w:rPr/>
      </w:pPr>
      <w:r>
        <w:rPr/>
      </w:r>
    </w:p>
    <w:p>
      <w:pPr>
        <w:pStyle w:val="Normal"/>
        <w:ind w:firstLine="720" w:start="2880" w:end="0"/>
        <w:rPr>
          <w:u w:val="single"/>
        </w:rPr>
      </w:pPr>
      <w:r>
        <w:rPr>
          <w:u w:val="single"/>
        </w:rPr>
      </w:r>
    </w:p>
    <w:p>
      <w:pPr>
        <w:pStyle w:val="Normal"/>
        <w:ind w:firstLine="720" w:start="2880" w:end="0"/>
        <w:rPr>
          <w:u w:val="single"/>
        </w:rPr>
      </w:pPr>
      <w:r>
        <w:rPr>
          <w:u w:val="single"/>
        </w:rPr>
        <w:tab/>
        <w:tab/>
        <w:tab/>
        <w:tab/>
        <w:tab/>
        <w:tab/>
        <w:tab/>
        <w:tab/>
      </w:r>
    </w:p>
    <w:p>
      <w:pPr>
        <w:pStyle w:val="Normal"/>
        <w:ind w:start="3600" w:end="0"/>
        <w:rPr/>
      </w:pPr>
      <w:r>
        <w:rPr/>
        <w:t>GOODIN, MACBRIDE, SQUERI, RICHIE &amp; DAY, LLP</w:t>
      </w:r>
    </w:p>
    <w:p>
      <w:pPr>
        <w:pStyle w:val="Normal"/>
        <w:ind w:start="3600" w:end="0"/>
        <w:rPr/>
      </w:pPr>
      <w:r>
        <w:rPr/>
        <w:t>Michael B. Day</w:t>
      </w:r>
    </w:p>
    <w:p>
      <w:pPr>
        <w:pStyle w:val="Normal"/>
        <w:ind w:start="3600" w:end="0"/>
        <w:rPr/>
      </w:pPr>
      <w:r>
        <w:rPr/>
        <w:t>Jeanne M. Bennett</w:t>
      </w:r>
    </w:p>
    <w:p>
      <w:pPr>
        <w:pStyle w:val="Normal"/>
        <w:ind w:start="3600" w:end="0"/>
        <w:rPr/>
      </w:pPr>
      <w:r>
        <w:rPr/>
        <w:t>505 Sansome Street, Suite 900</w:t>
      </w:r>
    </w:p>
    <w:p>
      <w:pPr>
        <w:pStyle w:val="Normal"/>
        <w:ind w:start="3600" w:end="0"/>
        <w:rPr/>
      </w:pPr>
      <w:r>
        <w:rPr/>
        <w:t>San Francisco, California  94111</w:t>
      </w:r>
    </w:p>
    <w:p>
      <w:pPr>
        <w:pStyle w:val="Normal"/>
        <w:ind w:start="3600" w:end="0"/>
        <w:rPr/>
      </w:pPr>
      <w:r>
        <w:rPr/>
        <w:t>Telephone:</w:t>
        <w:tab/>
        <w:t>(415) 392-7900</w:t>
      </w:r>
    </w:p>
    <w:p>
      <w:pPr>
        <w:pStyle w:val="Normal"/>
        <w:ind w:start="3600" w:end="0"/>
        <w:rPr/>
      </w:pPr>
      <w:r>
        <w:rPr/>
        <w:t>Facsimile:</w:t>
        <w:tab/>
        <w:t>(415) 398-4321</w:t>
      </w:r>
    </w:p>
    <w:p>
      <w:pPr>
        <w:pStyle w:val="Normal"/>
        <w:ind w:start="3600" w:end="0"/>
        <w:rPr/>
      </w:pPr>
      <w:r>
        <w:rPr/>
      </w:r>
    </w:p>
    <w:p>
      <w:pPr>
        <w:pStyle w:val="Normal"/>
        <w:ind w:start="3600" w:end="0"/>
        <w:rPr/>
      </w:pPr>
      <w:r>
        <w:rPr/>
        <w:t>Attorneys for Enron Energy Services, Inc. and Enron Energy Marketing Corp.</w:t>
      </w:r>
    </w:p>
    <w:p>
      <w:pPr>
        <w:pStyle w:val="Normal"/>
        <w:ind w:start="3600" w:end="0"/>
        <w:rPr/>
      </w:pPr>
      <w:r>
        <w:rPr/>
      </w:r>
    </w:p>
    <w:p>
      <w:pPr>
        <w:pStyle w:val="Normal"/>
        <w:ind w:start="3600" w:end="0"/>
        <w:rPr/>
      </w:pPr>
      <w:r>
        <w:rPr/>
      </w:r>
    </w:p>
    <w:p>
      <w:pPr>
        <w:pStyle w:val="Normal"/>
        <w:ind w:start="3600" w:end="0"/>
        <w:rPr/>
      </w:pPr>
      <w:r>
        <w:rPr/>
      </w:r>
    </w:p>
    <w:p>
      <w:pPr>
        <w:pStyle w:val="Normal"/>
        <w:ind w:start="3600" w:end="0"/>
        <w:rPr>
          <w:u w:val="single"/>
        </w:rPr>
      </w:pPr>
      <w:r>
        <w:rPr>
          <w:u w:val="single"/>
        </w:rPr>
        <w:tab/>
        <w:tab/>
        <w:tab/>
        <w:tab/>
        <w:tab/>
        <w:tab/>
        <w:tab/>
      </w:r>
    </w:p>
    <w:p>
      <w:pPr>
        <w:pStyle w:val="Normal"/>
        <w:ind w:start="3600" w:end="0"/>
        <w:rPr/>
      </w:pPr>
      <w:r>
        <w:rPr/>
        <w:t>ARTER &amp; HADDEN LLP</w:t>
      </w:r>
    </w:p>
    <w:p>
      <w:pPr>
        <w:pStyle w:val="Normal"/>
        <w:ind w:start="3600" w:end="0"/>
        <w:rPr/>
      </w:pPr>
      <w:r>
        <w:rPr/>
        <w:t>Daniel W. Douglass</w:t>
      </w:r>
    </w:p>
    <w:p>
      <w:pPr>
        <w:pStyle w:val="Normal"/>
        <w:ind w:start="3600" w:end="0"/>
        <w:rPr/>
      </w:pPr>
      <w:r>
        <w:rPr/>
        <w:t>5959 Topanga Canyon Blvd., Suite 244</w:t>
      </w:r>
    </w:p>
    <w:p>
      <w:pPr>
        <w:pStyle w:val="Normal"/>
        <w:ind w:start="3600" w:end="0"/>
        <w:rPr/>
      </w:pPr>
      <w:r>
        <w:rPr/>
        <w:t>Woodland Hills, California  91367</w:t>
      </w:r>
    </w:p>
    <w:p>
      <w:pPr>
        <w:pStyle w:val="Normal"/>
        <w:ind w:start="3600" w:end="0"/>
        <w:rPr/>
      </w:pPr>
      <w:r>
        <w:rPr/>
        <w:t>Telephone:</w:t>
        <w:tab/>
        <w:t>(818) 596-2201</w:t>
      </w:r>
    </w:p>
    <w:p>
      <w:pPr>
        <w:pStyle w:val="Normal"/>
        <w:ind w:start="3600" w:end="0"/>
        <w:rPr/>
      </w:pPr>
      <w:r>
        <w:rPr/>
        <w:t>Facsimile:</w:t>
        <w:tab/>
        <w:t>(818) 346-6502</w:t>
      </w:r>
    </w:p>
    <w:p>
      <w:pPr>
        <w:pStyle w:val="Normal"/>
        <w:ind w:start="3600" w:end="0"/>
        <w:rPr/>
      </w:pPr>
      <w:r>
        <w:rPr/>
      </w:r>
    </w:p>
    <w:p>
      <w:pPr>
        <w:pStyle w:val="Normal"/>
        <w:ind w:start="3600" w:end="0"/>
        <w:rPr/>
      </w:pPr>
      <w:r>
        <w:rPr/>
        <w:t>Attorney for APS Energy Services Company, Inc.</w:t>
      </w:r>
    </w:p>
    <w:p>
      <w:pPr>
        <w:pStyle w:val="Normal"/>
        <w:ind w:start="360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5336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abstractNum w:abstractNumId="2">
    <w:lvl w:ilvl="0">
      <w:start w:val="1"/>
      <w:numFmt w:val="bullet"/>
      <w:lvlText w:val=""/>
      <w:lvlJc w:val="start"/>
      <w:pPr>
        <w:tabs>
          <w:tab w:val="num" w:pos="1800"/>
        </w:tabs>
        <w:ind w:start="180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before="0" w:after="240"/>
      <w:outlineLvl w:val="0"/>
    </w:pPr>
    <w:rPr>
      <w:kern w:val="2"/>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lang w:eastAsia="en-US"/>
    </w:rPr>
  </w:style>
  <w:style w:type="paragraph" w:styleId="Heading4">
    <w:name w:val="heading 4"/>
    <w:basedOn w:val="Normal"/>
    <w:next w:val="BodyText"/>
    <w:qFormat/>
    <w:pPr>
      <w:numPr>
        <w:ilvl w:val="3"/>
        <w:numId w:val="1"/>
      </w:numPr>
      <w:spacing w:before="0" w:after="24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sz w:val="24"/>
      <w:u w:val="none"/>
    </w:rPr>
  </w:style>
  <w:style w:type="character" w:styleId="WW8Num4z1">
    <w:name w:val="WW8Num4z1"/>
    <w:qFormat/>
    <w:rPr>
      <w:rFonts w:ascii="Times New Roman" w:hAnsi="Times New Roman" w:cs="Times New Roman"/>
      <w:sz w:val="24"/>
      <w:u w:val="none"/>
    </w:rPr>
  </w:style>
  <w:style w:type="character" w:styleId="WW8Num4z2">
    <w:name w:val="WW8Num4z2"/>
    <w:qFormat/>
    <w:rPr>
      <w:rFonts w:ascii="Times New Roman" w:hAnsi="Times New Roman" w:cs="Times New Roman"/>
      <w:sz w:val="24"/>
    </w:rPr>
  </w:style>
  <w:style w:type="character" w:styleId="WW8Num4z8">
    <w:name w:val="WW8Num4z8"/>
    <w:qFormat/>
    <w:rPr>
      <w:rFonts w:ascii="Times New Roman" w:hAnsi="Times New Roman" w:cs="Times New Roman"/>
    </w:rPr>
  </w:style>
  <w:style w:type="character" w:styleId="WW8Num5z0">
    <w:name w:val="WW8Num5z0"/>
    <w:qFormat/>
    <w:rPr>
      <w:rFonts w:ascii="Times New Roman" w:hAnsi="Times New Roman" w:cs="Times New Roman"/>
      <w:sz w:val="24"/>
      <w:u w:val="none"/>
    </w:rPr>
  </w:style>
  <w:style w:type="character" w:styleId="WW8Num5z1">
    <w:name w:val="WW8Num5z1"/>
    <w:qFormat/>
    <w:rPr>
      <w:rFonts w:ascii="Times New Roman" w:hAnsi="Times New Roman" w:cs="Times New Roman"/>
      <w:sz w:val="24"/>
      <w:u w:val="none"/>
    </w:rPr>
  </w:style>
  <w:style w:type="character" w:styleId="WW8Num5z2">
    <w:name w:val="WW8Num5z2"/>
    <w:qFormat/>
    <w:rPr>
      <w:rFonts w:ascii="Times New Roman" w:hAnsi="Times New Roman" w:cs="Times New Roman"/>
      <w:sz w:val="24"/>
    </w:rPr>
  </w:style>
  <w:style w:type="character" w:styleId="WW8Num5z8">
    <w:name w:val="WW8Num5z8"/>
    <w:qFormat/>
    <w:rPr>
      <w:rFonts w:ascii="Times New Roman" w:hAnsi="Times New Roman" w:cs="Times New Roman"/>
    </w:rPr>
  </w:style>
  <w:style w:type="character" w:styleId="WW8Num6z0">
    <w:name w:val="WW8Num6z0"/>
    <w:qFormat/>
    <w:rPr>
      <w:rFonts w:ascii="Times New Roman" w:hAnsi="Times New Roman" w:cs="Times New Roman"/>
      <w:sz w:val="24"/>
      <w:u w:val="none"/>
    </w:rPr>
  </w:style>
  <w:style w:type="character" w:styleId="WW8Num6z1">
    <w:name w:val="WW8Num6z1"/>
    <w:qFormat/>
    <w:rPr>
      <w:rFonts w:ascii="Times New Roman" w:hAnsi="Times New Roman" w:cs="Times New Roman"/>
      <w:sz w:val="24"/>
      <w:u w:val="none"/>
    </w:rPr>
  </w:style>
  <w:style w:type="character" w:styleId="WW8Num6z2">
    <w:name w:val="WW8Num6z2"/>
    <w:qFormat/>
    <w:rPr>
      <w:rFonts w:ascii="Times New Roman" w:hAnsi="Times New Roman" w:cs="Times New Roman"/>
      <w:sz w:val="24"/>
    </w:rPr>
  </w:style>
  <w:style w:type="character" w:styleId="WW8Num6z8">
    <w:name w:val="WW8Num6z8"/>
    <w:qFormat/>
    <w:rPr>
      <w:rFonts w:ascii="Times New Roman" w:hAnsi="Times New Roman" w:cs="Times New Roman"/>
    </w:rPr>
  </w:style>
  <w:style w:type="character" w:styleId="WW8Num7z0">
    <w:name w:val="WW8Num7z0"/>
    <w:qFormat/>
    <w:rPr>
      <w:rFonts w:ascii="Times New Roman" w:hAnsi="Times New Roman" w:cs="Times New Roman"/>
      <w:sz w:val="24"/>
      <w:u w:val="none"/>
    </w:rPr>
  </w:style>
  <w:style w:type="character" w:styleId="WW8Num7z1">
    <w:name w:val="WW8Num7z1"/>
    <w:qFormat/>
    <w:rPr>
      <w:rFonts w:ascii="Times New Roman" w:hAnsi="Times New Roman" w:cs="Times New Roman"/>
      <w:sz w:val="24"/>
      <w:u w:val="none"/>
    </w:rPr>
  </w:style>
  <w:style w:type="character" w:styleId="WW8Num7z2">
    <w:name w:val="WW8Num7z2"/>
    <w:qFormat/>
    <w:rPr>
      <w:rFonts w:ascii="Times New Roman" w:hAnsi="Times New Roman" w:cs="Times New Roman"/>
      <w:sz w:val="24"/>
    </w:rPr>
  </w:style>
  <w:style w:type="character" w:styleId="WW8Num7z8">
    <w:name w:val="WW8Num7z8"/>
    <w:qFormat/>
    <w:rPr>
      <w:rFonts w:ascii="Times New Roman" w:hAnsi="Times New Roman" w:cs="Times New Roman"/>
    </w:rPr>
  </w:style>
  <w:style w:type="character" w:styleId="WW8Num8z0">
    <w:name w:val="WW8Num8z0"/>
    <w:qFormat/>
    <w:rPr>
      <w:rFonts w:ascii="Times New Roman" w:hAnsi="Times New Roman" w:cs="Times New Roman"/>
      <w:sz w:val="24"/>
      <w:u w:val="none"/>
    </w:rPr>
  </w:style>
  <w:style w:type="character" w:styleId="WW8Num8z1">
    <w:name w:val="WW8Num8z1"/>
    <w:qFormat/>
    <w:rPr>
      <w:rFonts w:ascii="Times New Roman" w:hAnsi="Times New Roman" w:cs="Times New Roman"/>
      <w:sz w:val="24"/>
      <w:u w:val="none"/>
    </w:rPr>
  </w:style>
  <w:style w:type="character" w:styleId="WW8Num8z2">
    <w:name w:val="WW8Num8z2"/>
    <w:qFormat/>
    <w:rPr>
      <w:rFonts w:ascii="Times New Roman" w:hAnsi="Times New Roman" w:cs="Times New Roman"/>
      <w:sz w:val="24"/>
    </w:rPr>
  </w:style>
  <w:style w:type="character" w:styleId="WW8Num8z8">
    <w:name w:val="WW8Num8z8"/>
    <w:qFormat/>
    <w:rPr>
      <w:rFonts w:ascii="Times New Roman" w:hAnsi="Times New Roman" w:cs="Times New Roman"/>
    </w:rPr>
  </w:style>
  <w:style w:type="character" w:styleId="WW8Num9z0">
    <w:name w:val="WW8Num9z0"/>
    <w:qFormat/>
    <w:rPr>
      <w:rFonts w:ascii="Courier New" w:hAnsi="Courier New" w:cs="Courier New"/>
      <w:b w:val="false"/>
      <w:i w:val="false"/>
      <w:sz w:val="24"/>
    </w:rPr>
  </w:style>
  <w:style w:type="character" w:styleId="WW8Num10z0">
    <w:name w:val="WW8Num10z0"/>
    <w:qFormat/>
    <w:rPr>
      <w:rFonts w:ascii="Times New Roman" w:hAnsi="Times New Roman" w:cs="Times New Roman"/>
      <w:sz w:val="24"/>
      <w:u w:val="none"/>
    </w:rPr>
  </w:style>
  <w:style w:type="character" w:styleId="WW8Num10z1">
    <w:name w:val="WW8Num10z1"/>
    <w:qFormat/>
    <w:rPr>
      <w:rFonts w:ascii="Times New Roman" w:hAnsi="Times New Roman" w:cs="Times New Roman"/>
      <w:sz w:val="24"/>
      <w:u w:val="none"/>
    </w:rPr>
  </w:style>
  <w:style w:type="character" w:styleId="WW8Num10z2">
    <w:name w:val="WW8Num10z2"/>
    <w:qFormat/>
    <w:rPr>
      <w:rFonts w:ascii="Times New Roman" w:hAnsi="Times New Roman" w:cs="Times New Roman"/>
      <w:sz w:val="24"/>
    </w:rPr>
  </w:style>
  <w:style w:type="character" w:styleId="WW8Num10z8">
    <w:name w:val="WW8Num10z8"/>
    <w:qFormat/>
    <w:rPr>
      <w:rFonts w:ascii="Times New Roman" w:hAnsi="Times New Roman" w:cs="Times New Roman"/>
    </w:rPr>
  </w:style>
  <w:style w:type="character" w:styleId="WW8Num11z0">
    <w:name w:val="WW8Num11z0"/>
    <w:qFormat/>
    <w:rPr>
      <w:rFonts w:ascii="Times New Roman" w:hAnsi="Times New Roman" w:cs="Times New Roman"/>
      <w:sz w:val="24"/>
      <w:u w:val="none"/>
    </w:rPr>
  </w:style>
  <w:style w:type="character" w:styleId="WW8Num11z1">
    <w:name w:val="WW8Num11z1"/>
    <w:qFormat/>
    <w:rPr>
      <w:rFonts w:ascii="Times New Roman" w:hAnsi="Times New Roman" w:cs="Times New Roman"/>
      <w:sz w:val="24"/>
      <w:u w:val="none"/>
    </w:rPr>
  </w:style>
  <w:style w:type="character" w:styleId="WW8Num11z2">
    <w:name w:val="WW8Num11z2"/>
    <w:qFormat/>
    <w:rPr>
      <w:rFonts w:ascii="Times New Roman" w:hAnsi="Times New Roman" w:cs="Times New Roman"/>
      <w:sz w:val="24"/>
    </w:rPr>
  </w:style>
  <w:style w:type="character" w:styleId="WW8Num11z8">
    <w:name w:val="WW8Num11z8"/>
    <w:qFormat/>
    <w:rPr>
      <w:rFonts w:ascii="Times New Roman" w:hAnsi="Times New Roman" w:cs="Times New Roman"/>
    </w:rPr>
  </w:style>
  <w:style w:type="character" w:styleId="WW8Num12z0">
    <w:name w:val="WW8Num12z0"/>
    <w:qFormat/>
    <w:rPr>
      <w:rFonts w:ascii="Times New Roman" w:hAnsi="Times New Roman" w:cs="Times New Roman"/>
      <w:sz w:val="24"/>
      <w:u w:val="none"/>
    </w:rPr>
  </w:style>
  <w:style w:type="character" w:styleId="WW8Num12z1">
    <w:name w:val="WW8Num12z1"/>
    <w:qFormat/>
    <w:rPr>
      <w:rFonts w:ascii="Times New Roman" w:hAnsi="Times New Roman" w:cs="Times New Roman"/>
      <w:sz w:val="24"/>
      <w:u w:val="none"/>
    </w:rPr>
  </w:style>
  <w:style w:type="character" w:styleId="WW8Num12z2">
    <w:name w:val="WW8Num12z2"/>
    <w:qFormat/>
    <w:rPr>
      <w:rFonts w:ascii="Times New Roman" w:hAnsi="Times New Roman" w:cs="Times New Roman"/>
      <w:sz w:val="24"/>
    </w:rPr>
  </w:style>
  <w:style w:type="character" w:styleId="WW8Num12z8">
    <w:name w:val="WW8Num12z8"/>
    <w:qFormat/>
    <w:rPr>
      <w:rFonts w:ascii="Times New Roman" w:hAnsi="Times New Roman" w:cs="Times New Roman"/>
    </w:rPr>
  </w:style>
  <w:style w:type="character" w:styleId="WW8Num13z0">
    <w:name w:val="WW8Num13z0"/>
    <w:qFormat/>
    <w:rPr>
      <w:rFonts w:ascii="Times New Roman" w:hAnsi="Times New Roman" w:cs="Times New Roman"/>
      <w:sz w:val="24"/>
      <w:u w:val="none"/>
    </w:rPr>
  </w:style>
  <w:style w:type="character" w:styleId="WW8Num13z1">
    <w:name w:val="WW8Num13z1"/>
    <w:qFormat/>
    <w:rPr>
      <w:rFonts w:ascii="Times New Roman" w:hAnsi="Times New Roman" w:cs="Times New Roman"/>
      <w:sz w:val="24"/>
      <w:u w:val="none"/>
    </w:rPr>
  </w:style>
  <w:style w:type="character" w:styleId="WW8Num13z2">
    <w:name w:val="WW8Num13z2"/>
    <w:qFormat/>
    <w:rPr>
      <w:rFonts w:ascii="Times New Roman" w:hAnsi="Times New Roman" w:cs="Times New Roman"/>
      <w:sz w:val="24"/>
    </w:rPr>
  </w:style>
  <w:style w:type="character" w:styleId="WW8Num13z8">
    <w:name w:val="WW8Num13z8"/>
    <w:qFormat/>
    <w:rPr>
      <w:rFonts w:ascii="Times New Roman" w:hAnsi="Times New Roman" w:cs="Times New Roman"/>
    </w:rPr>
  </w:style>
  <w:style w:type="character" w:styleId="WW8Num14z0">
    <w:name w:val="WW8Num1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exact" w:line="560"/>
    </w:pPr>
    <w:rP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4"/>
      </w:numPr>
      <w:tabs>
        <w:tab w:val="clear" w:pos="720"/>
      </w:tabs>
      <w:spacing w:before="0" w:after="240"/>
      <w:ind w:hanging="720" w:start="1440" w:end="720"/>
    </w:pPr>
    <w:rPr/>
  </w:style>
  <w:style w:type="paragraph" w:styleId="ListBullet2">
    <w:name w:val="List Bullet 2"/>
    <w:basedOn w:val="Normal"/>
    <w:qFormat/>
    <w:pPr>
      <w:numPr>
        <w:ilvl w:val="0"/>
        <w:numId w:val="2"/>
      </w:numPr>
      <w:tabs>
        <w:tab w:val="clear" w:pos="720"/>
      </w:tabs>
      <w:spacing w:before="0" w:after="240"/>
      <w:ind w:hanging="0" w:start="0" w:end="1440"/>
    </w:pPr>
    <w:rPr/>
  </w:style>
  <w:style w:type="paragraph" w:styleId="ListNumber">
    <w:name w:val="List Number"/>
    <w:basedOn w:val="Normal"/>
    <w:qFormat/>
    <w:pPr>
      <w:numPr>
        <w:ilvl w:val="0"/>
        <w:numId w:val="3"/>
      </w:numPr>
      <w:tabs>
        <w:tab w:val="clear" w:pos="720"/>
      </w:tabs>
      <w:spacing w:before="0" w:after="240"/>
      <w:ind w:hanging="720" w:start="1440" w:end="0"/>
    </w:pPr>
    <w:rPr/>
  </w:style>
  <w:style w:type="paragraph" w:styleId="NormalIndent">
    <w:name w:val="Normal Indent"/>
    <w:basedOn w:val="Normal"/>
    <w:qFormat/>
    <w:pPr>
      <w:spacing w:before="0" w:after="240"/>
      <w:ind w:hanging="0" w:start="720" w:end="0"/>
    </w:pPr>
    <w:rPr/>
  </w:style>
  <w:style w:type="paragraph" w:styleId="SingleSpace">
    <w:name w:val="Single Space"/>
    <w:basedOn w:val="Normal"/>
    <w:qFormat/>
    <w:pPr/>
    <w:rPr>
      <w:lang w:eastAsia="en-US"/>
    </w:rPr>
  </w:style>
  <w:style w:type="paragraph" w:styleId="DoubleIndent">
    <w:name w:val="Double Indent"/>
    <w:basedOn w:val="Normal"/>
    <w:qFormat/>
    <w:pPr>
      <w:spacing w:before="0" w:after="240"/>
      <w:ind w:hanging="0" w:start="1440" w:end="1440"/>
    </w:pPr>
    <w:rPr/>
  </w:style>
  <w:style w:type="paragraph" w:styleId="EndnoteText">
    <w:name w:val="endnote text"/>
    <w:basedOn w:val="Normal"/>
    <w:pPr>
      <w:spacing w:before="0" w:after="240"/>
      <w:ind w:firstLine="720" w:start="0" w:end="0"/>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60" w:leader="dot"/>
      </w:tabs>
      <w:spacing w:before="0" w:after="120"/>
      <w:ind w:hanging="720" w:start="720" w:end="0"/>
    </w:pPr>
    <w:rPr/>
  </w:style>
  <w:style w:type="paragraph" w:styleId="TOC2">
    <w:name w:val="toc 2"/>
    <w:basedOn w:val="Normal"/>
    <w:next w:val="Normal"/>
    <w:pPr>
      <w:tabs>
        <w:tab w:val="clear" w:pos="720"/>
        <w:tab w:val="right" w:pos="9360" w:leader="dot"/>
      </w:tabs>
      <w:spacing w:before="0" w:after="120"/>
      <w:ind w:hanging="720" w:start="1440" w:end="0"/>
    </w:pPr>
    <w:rPr/>
  </w:style>
  <w:style w:type="paragraph" w:styleId="TOC3">
    <w:name w:val="toc 3"/>
    <w:basedOn w:val="Normal"/>
    <w:next w:val="Normal"/>
    <w:pPr>
      <w:tabs>
        <w:tab w:val="clear" w:pos="720"/>
        <w:tab w:val="left" w:pos="2160" w:leader="none"/>
        <w:tab w:val="right" w:pos="9360" w:leader="dot"/>
      </w:tabs>
      <w:spacing w:before="0" w:after="120"/>
      <w:ind w:hanging="720" w:start="2160" w:end="0"/>
    </w:pPr>
    <w:rPr/>
  </w:style>
  <w:style w:type="paragraph" w:styleId="TOC4">
    <w:name w:val="toc 4"/>
    <w:basedOn w:val="Normal"/>
    <w:next w:val="Normal"/>
    <w:pPr>
      <w:tabs>
        <w:tab w:val="clear" w:pos="720"/>
        <w:tab w:val="right" w:pos="9360" w:leader="dot"/>
      </w:tabs>
      <w:spacing w:before="0" w:after="120"/>
      <w:ind w:hanging="720" w:start="2880" w:end="0"/>
    </w:pPr>
    <w:rPr/>
  </w:style>
  <w:style w:type="paragraph" w:styleId="TOC5">
    <w:name w:val="toc 5"/>
    <w:basedOn w:val="Normal"/>
    <w:next w:val="Normal"/>
    <w:pPr>
      <w:tabs>
        <w:tab w:val="clear" w:pos="720"/>
        <w:tab w:val="right" w:pos="9360" w:leader="dot"/>
      </w:tabs>
      <w:spacing w:before="0" w:after="120"/>
      <w:ind w:hanging="720" w:start="3600" w:end="0"/>
    </w:pPr>
    <w:rPr/>
  </w:style>
  <w:style w:type="paragraph" w:styleId="TOC6">
    <w:name w:val="toc 6"/>
    <w:basedOn w:val="Normal"/>
    <w:next w:val="Normal"/>
    <w:pPr>
      <w:tabs>
        <w:tab w:val="clear" w:pos="720"/>
        <w:tab w:val="right" w:pos="9360" w:leader="dot"/>
      </w:tabs>
      <w:spacing w:before="0" w:after="120"/>
      <w:ind w:hanging="720" w:start="4320" w:end="0"/>
    </w:pPr>
    <w:rPr/>
  </w:style>
  <w:style w:type="paragraph" w:styleId="TOC7">
    <w:name w:val="toc 7"/>
    <w:basedOn w:val="Normal"/>
    <w:next w:val="Normal"/>
    <w:pPr>
      <w:tabs>
        <w:tab w:val="clear" w:pos="720"/>
        <w:tab w:val="right" w:pos="9360" w:leader="dot"/>
      </w:tabs>
      <w:spacing w:before="0" w:after="120"/>
      <w:ind w:hanging="720" w:start="5040" w:end="0"/>
    </w:pPr>
    <w:rPr/>
  </w:style>
  <w:style w:type="paragraph" w:styleId="TOC8">
    <w:name w:val="toc 8"/>
    <w:basedOn w:val="Normal"/>
    <w:next w:val="Normal"/>
    <w:pPr>
      <w:tabs>
        <w:tab w:val="clear" w:pos="720"/>
        <w:tab w:val="right" w:pos="9360" w:leader="dot"/>
      </w:tabs>
      <w:spacing w:before="0" w:after="120"/>
      <w:ind w:hanging="720" w:start="5760" w:end="0"/>
    </w:pPr>
    <w:rPr/>
  </w:style>
  <w:style w:type="paragraph" w:styleId="TOC9">
    <w:name w:val="toc 9"/>
    <w:basedOn w:val="Normal"/>
    <w:next w:val="Normal"/>
    <w:pPr>
      <w:tabs>
        <w:tab w:val="clear" w:pos="720"/>
        <w:tab w:val="right" w:pos="9360" w:leader="dot"/>
      </w:tabs>
      <w:spacing w:before="0" w:after="120"/>
      <w:ind w:hanging="720" w:start="648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2001-04-17T13:09:00Z</dcterms:created>
  <dc:creator>charles read</dc:creator>
  <dc:description/>
  <dc:language>en-CA</dc:language>
  <cp:lastModifiedBy>charles read</cp:lastModifiedBy>
  <cp:lastPrinted>2001-04-17T13:41:00Z</cp:lastPrinted>
  <dcterms:modified xsi:type="dcterms:W3CDTF">2001-04-20T11:36:00Z</dcterms:modified>
  <cp:revision>10</cp:revision>
  <dc:subject/>
  <dc:title>I</dc:title>
</cp:coreProperties>
</file>