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Hydrostatic Test Discharge/Construction Dewatering/Aquifer Protection Permit</w:t>
      </w:r>
    </w:p>
    <w:p>
      <w:pPr>
        <w:pStyle w:val="Normal"/>
        <w:rPr>
          <w:b/>
          <w:sz w:val="22"/>
          <w:u w:val="single"/>
        </w:rPr>
      </w:pPr>
      <w:r>
        <w:rPr>
          <w:b/>
          <w:sz w:val="22"/>
          <w:u w:val="single"/>
        </w:rPr>
      </w:r>
    </w:p>
    <w:p>
      <w:pPr>
        <w:pStyle w:val="Normal"/>
        <w:jc w:val="center"/>
        <w:rPr>
          <w:b/>
          <w:sz w:val="20"/>
          <w:u w:val="single"/>
        </w:rPr>
      </w:pPr>
      <w:r>
        <w:rPr>
          <w:b/>
          <w:sz w:val="22"/>
          <w:u w:val="single"/>
        </w:rPr>
        <w:t>State of Arizona</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Arizona Department of Environmental Quality</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(602) 207-4696</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Hydrostatic Test Discharge Permit and Construction Dewatering Permit, regulated under R18-9-A301 of the Arizona Administrative Code</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None</w:t>
      </w:r>
    </w:p>
    <w:p>
      <w:pPr>
        <w:pStyle w:val="Normal"/>
        <w:tabs>
          <w:tab w:val="clear" w:pos="720"/>
          <w:tab w:val="left" w:pos="2160" w:leader="none"/>
          <w:tab w:val="left" w:pos="2340" w:leader="none"/>
        </w:tabs>
        <w:spacing w:before="0" w:after="60"/>
        <w:ind w:hanging="2160" w:start="2160" w:end="0"/>
        <w:rPr/>
      </w:pPr>
      <w:r>
        <w:rPr>
          <w:b/>
          <w:sz w:val="20"/>
        </w:rPr>
        <w:t>Application Due Date:</w:t>
        <w:tab/>
      </w:r>
      <w:r>
        <w:rPr>
          <w:sz w:val="20"/>
        </w:rPr>
        <w:t>None</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rPr>
          <w:b/>
          <w:sz w:val="20"/>
        </w:rPr>
      </w:pPr>
      <w:r>
        <w:rPr>
          <w:b/>
          <w:sz w:val="20"/>
        </w:rPr>
        <w:t>Notes:</w:t>
        <w:tab/>
      </w:r>
    </w:p>
    <w:p>
      <w:pPr>
        <w:pStyle w:val="Normal"/>
        <w:ind w:start="2160" w:end="0"/>
        <w:rPr>
          <w:b/>
          <w:i/>
          <w:i/>
          <w:sz w:val="20"/>
        </w:rPr>
      </w:pPr>
      <w:r>
        <w:rPr>
          <w:b/>
          <w:i/>
          <w:sz w:val="20"/>
        </w:rPr>
        <w:t>Hydrostatic Test Discharge Permit:</w:t>
      </w:r>
    </w:p>
    <w:p>
      <w:pPr>
        <w:pStyle w:val="Normal"/>
        <w:ind w:start="2160" w:end="0"/>
        <w:rPr>
          <w:sz w:val="20"/>
        </w:rPr>
      </w:pPr>
      <w:r>
        <w:rPr>
          <w:sz w:val="20"/>
        </w:rPr>
        <w:t>Falls under a type 1 general permit, which is a permit by rule as long as all conditions and requirements are met.  There are two types of permits:</w:t>
      </w:r>
    </w:p>
    <w:p>
      <w:pPr>
        <w:pStyle w:val="Normal"/>
        <w:ind w:start="2160" w:end="0"/>
        <w:rPr>
          <w:sz w:val="20"/>
        </w:rPr>
      </w:pPr>
      <w:r>
        <w:rPr>
          <w:sz w:val="20"/>
        </w:rPr>
        <w:t>Paragraph B. 1.02 permit for discharges from new pipelines</w:t>
      </w:r>
    </w:p>
    <w:p>
      <w:pPr>
        <w:pStyle w:val="Normal"/>
        <w:numPr>
          <w:ilvl w:val="0"/>
          <w:numId w:val="3"/>
        </w:numPr>
        <w:tabs>
          <w:tab w:val="clear" w:pos="720"/>
          <w:tab w:val="left" w:pos="2520" w:leader="none"/>
        </w:tabs>
        <w:ind w:hanging="360" w:start="2520" w:end="0"/>
        <w:rPr>
          <w:sz w:val="20"/>
        </w:rPr>
      </w:pPr>
      <w:r>
        <w:rPr>
          <w:sz w:val="20"/>
        </w:rPr>
        <w:t>quality of the water used for test must not violate any aquifer water quality standard</w:t>
      </w:r>
    </w:p>
    <w:p>
      <w:pPr>
        <w:pStyle w:val="Normal"/>
        <w:numPr>
          <w:ilvl w:val="0"/>
          <w:numId w:val="3"/>
        </w:numPr>
        <w:tabs>
          <w:tab w:val="clear" w:pos="720"/>
          <w:tab w:val="left" w:pos="2520" w:leader="none"/>
        </w:tabs>
        <w:ind w:hanging="360" w:start="2520" w:end="0"/>
        <w:rPr>
          <w:sz w:val="20"/>
        </w:rPr>
      </w:pPr>
      <w:r>
        <w:rPr>
          <w:sz w:val="20"/>
        </w:rPr>
        <w:t>discharge is not to waters of the U.S. unless discharge is under NPDES permit</w:t>
      </w:r>
    </w:p>
    <w:p>
      <w:pPr>
        <w:pStyle w:val="Normal"/>
        <w:numPr>
          <w:ilvl w:val="0"/>
          <w:numId w:val="3"/>
        </w:numPr>
        <w:tabs>
          <w:tab w:val="clear" w:pos="720"/>
          <w:tab w:val="left" w:pos="2520" w:leader="none"/>
        </w:tabs>
        <w:ind w:hanging="360" w:start="2520" w:end="0"/>
        <w:rPr>
          <w:sz w:val="20"/>
        </w:rPr>
      </w:pPr>
      <w:r>
        <w:rPr>
          <w:sz w:val="20"/>
        </w:rPr>
        <w:t>test site must be restored to natural grade</w:t>
      </w:r>
    </w:p>
    <w:p>
      <w:pPr>
        <w:pStyle w:val="Normal"/>
        <w:tabs>
          <w:tab w:val="clear" w:pos="720"/>
          <w:tab w:val="left" w:pos="2520" w:leader="none"/>
        </w:tabs>
        <w:ind w:hanging="360" w:start="2520" w:end="0"/>
        <w:rPr>
          <w:sz w:val="20"/>
        </w:rPr>
      </w:pPr>
      <w:r>
        <w:rPr>
          <w:sz w:val="20"/>
        </w:rPr>
        <w:t>Paragraph C. 1.03 permit for discharges from existing pipelines</w:t>
      </w:r>
    </w:p>
    <w:p>
      <w:pPr>
        <w:pStyle w:val="Normal"/>
        <w:numPr>
          <w:ilvl w:val="0"/>
          <w:numId w:val="3"/>
        </w:numPr>
        <w:tabs>
          <w:tab w:val="clear" w:pos="720"/>
          <w:tab w:val="left" w:pos="2520" w:leader="none"/>
        </w:tabs>
        <w:ind w:hanging="360" w:start="2520" w:end="0"/>
        <w:rPr>
          <w:sz w:val="20"/>
        </w:rPr>
      </w:pPr>
      <w:r>
        <w:rPr>
          <w:sz w:val="20"/>
        </w:rPr>
        <w:t>all liquid discharge must be contained in an impoundment lined with flexible geomembrane material with a thickness of at least 10 mms</w:t>
      </w:r>
    </w:p>
    <w:p>
      <w:pPr>
        <w:pStyle w:val="Normal"/>
        <w:numPr>
          <w:ilvl w:val="0"/>
          <w:numId w:val="3"/>
        </w:numPr>
        <w:tabs>
          <w:tab w:val="clear" w:pos="720"/>
          <w:tab w:val="left" w:pos="2520" w:leader="none"/>
        </w:tabs>
        <w:ind w:hanging="360" w:start="2520" w:end="0"/>
        <w:rPr>
          <w:sz w:val="20"/>
        </w:rPr>
      </w:pPr>
      <w:r>
        <w:rPr>
          <w:sz w:val="20"/>
        </w:rPr>
        <w:t>the liner material must be placed over layer, at least 3 inches thick, of sand or finer grained material</w:t>
      </w:r>
    </w:p>
    <w:p>
      <w:pPr>
        <w:pStyle w:val="Normal"/>
        <w:numPr>
          <w:ilvl w:val="0"/>
          <w:numId w:val="3"/>
        </w:numPr>
        <w:tabs>
          <w:tab w:val="clear" w:pos="720"/>
          <w:tab w:val="left" w:pos="2520" w:leader="none"/>
        </w:tabs>
        <w:ind w:hanging="360" w:start="2520" w:end="0"/>
        <w:rPr>
          <w:sz w:val="20"/>
        </w:rPr>
      </w:pPr>
      <w:r>
        <w:rPr>
          <w:sz w:val="20"/>
        </w:rPr>
        <w:t>water must be removed from impoundment to appropriate landfill or treatment works within 60 days</w:t>
      </w:r>
    </w:p>
    <w:p>
      <w:pPr>
        <w:pStyle w:val="Normal"/>
        <w:numPr>
          <w:ilvl w:val="0"/>
          <w:numId w:val="3"/>
        </w:numPr>
        <w:tabs>
          <w:tab w:val="clear" w:pos="720"/>
          <w:tab w:val="left" w:pos="2520" w:leader="none"/>
        </w:tabs>
        <w:ind w:hanging="360" w:start="2520" w:end="0"/>
        <w:rPr>
          <w:sz w:val="20"/>
        </w:rPr>
      </w:pPr>
      <w:r>
        <w:rPr>
          <w:sz w:val="20"/>
        </w:rPr>
        <w:t>liner must be removed and disposed of an approved landfill unless liner can be reused</w:t>
      </w:r>
    </w:p>
    <w:p>
      <w:pPr>
        <w:pStyle w:val="Normal"/>
        <w:numPr>
          <w:ilvl w:val="0"/>
          <w:numId w:val="3"/>
        </w:numPr>
        <w:tabs>
          <w:tab w:val="clear" w:pos="720"/>
          <w:tab w:val="left" w:pos="2520" w:leader="none"/>
        </w:tabs>
        <w:ind w:hanging="360" w:start="2520" w:end="0"/>
        <w:rPr>
          <w:sz w:val="20"/>
        </w:rPr>
      </w:pPr>
      <w:r>
        <w:rPr>
          <w:sz w:val="20"/>
        </w:rPr>
        <w:t>test site must be restored to its natural grade</w:t>
      </w:r>
    </w:p>
    <w:p>
      <w:pPr>
        <w:pStyle w:val="Normal"/>
        <w:ind w:start="2160" w:end="0"/>
        <w:rPr>
          <w:sz w:val="20"/>
        </w:rPr>
      </w:pPr>
      <w:r>
        <w:rPr>
          <w:sz w:val="20"/>
        </w:rPr>
      </w:r>
    </w:p>
    <w:p>
      <w:pPr>
        <w:pStyle w:val="Normal"/>
        <w:tabs>
          <w:tab w:val="clear" w:pos="720"/>
          <w:tab w:val="left" w:pos="2520" w:leader="none"/>
        </w:tabs>
        <w:ind w:start="2160" w:end="0"/>
        <w:rPr>
          <w:b/>
          <w:i/>
          <w:i/>
          <w:sz w:val="20"/>
        </w:rPr>
      </w:pPr>
      <w:r>
        <w:rPr>
          <w:b/>
          <w:i/>
          <w:sz w:val="20"/>
        </w:rPr>
        <w:t>Construction Dewatering Permit:</w:t>
      </w:r>
    </w:p>
    <w:p>
      <w:pPr>
        <w:pStyle w:val="BodyTextIndent"/>
        <w:rPr/>
      </w:pPr>
      <w:r>
        <w:rPr/>
        <w:t xml:space="preserve">Falls under a type 1 general permit, which is a permit by rule as long as all conditions and requirements are met.   </w:t>
      </w:r>
    </w:p>
    <w:p>
      <w:pPr>
        <w:pStyle w:val="Normal"/>
        <w:tabs>
          <w:tab w:val="clear" w:pos="720"/>
          <w:tab w:val="left" w:pos="2520" w:leader="none"/>
        </w:tabs>
        <w:ind w:start="2160" w:end="0"/>
        <w:rPr>
          <w:sz w:val="20"/>
        </w:rPr>
      </w:pPr>
      <w:r>
        <w:rPr>
          <w:sz w:val="20"/>
        </w:rPr>
        <w:t>Paragraph A. 1.01 permit for discharges from construction dewatering</w:t>
      </w:r>
    </w:p>
    <w:p>
      <w:pPr>
        <w:pStyle w:val="Normal"/>
        <w:numPr>
          <w:ilvl w:val="0"/>
          <w:numId w:val="3"/>
        </w:numPr>
        <w:tabs>
          <w:tab w:val="clear" w:pos="720"/>
          <w:tab w:val="left" w:pos="2520" w:leader="none"/>
        </w:tabs>
        <w:ind w:hanging="360" w:start="2520" w:end="0"/>
        <w:rPr>
          <w:sz w:val="20"/>
        </w:rPr>
      </w:pPr>
      <w:r>
        <w:rPr>
          <w:sz w:val="20"/>
        </w:rPr>
        <w:t>only physical processes may be employed</w:t>
      </w:r>
    </w:p>
    <w:p>
      <w:pPr>
        <w:pStyle w:val="Normal"/>
        <w:numPr>
          <w:ilvl w:val="0"/>
          <w:numId w:val="3"/>
        </w:numPr>
        <w:tabs>
          <w:tab w:val="clear" w:pos="720"/>
          <w:tab w:val="left" w:pos="2520" w:leader="none"/>
        </w:tabs>
        <w:ind w:hanging="360" w:start="2520" w:end="0"/>
        <w:rPr>
          <w:sz w:val="20"/>
        </w:rPr>
      </w:pPr>
      <w:r>
        <w:rPr>
          <w:sz w:val="20"/>
        </w:rPr>
        <w:t>no hazardous substances are in water except those naturally occurring in sand, gravel, or other rock material</w:t>
      </w:r>
      <w:r>
        <w:br w:type="page"/>
      </w:r>
    </w:p>
    <w:p>
      <w:pPr>
        <w:pStyle w:val="Normal"/>
        <w:jc w:val="center"/>
        <w:rPr>
          <w:b/>
          <w:sz w:val="22"/>
          <w:u w:val="single"/>
        </w:rPr>
      </w:pPr>
      <w:r>
        <w:rPr>
          <w:b/>
          <w:sz w:val="22"/>
          <w:u w:val="single"/>
        </w:rPr>
        <w:t>Hydrostatic Test Discharge Permit</w:t>
      </w:r>
    </w:p>
    <w:p>
      <w:pPr>
        <w:pStyle w:val="Normal"/>
        <w:rPr>
          <w:b/>
          <w:sz w:val="22"/>
          <w:u w:val="single"/>
        </w:rPr>
      </w:pPr>
      <w:r>
        <w:rPr>
          <w:b/>
          <w:sz w:val="22"/>
          <w:u w:val="single"/>
        </w:rPr>
      </w:r>
    </w:p>
    <w:p>
      <w:pPr>
        <w:pStyle w:val="Normal"/>
        <w:jc w:val="center"/>
        <w:rPr>
          <w:b/>
          <w:sz w:val="20"/>
          <w:u w:val="single"/>
        </w:rPr>
      </w:pPr>
      <w:r>
        <w:rPr>
          <w:b/>
          <w:sz w:val="22"/>
          <w:u w:val="single"/>
        </w:rPr>
        <w:t>New Mexico</w:t>
      </w:r>
    </w:p>
    <w:p>
      <w:pPr>
        <w:pStyle w:val="Normal"/>
        <w:rPr>
          <w:b/>
          <w:sz w:val="20"/>
          <w:u w:val="single"/>
        </w:rPr>
      </w:pPr>
      <w:r>
        <w:rPr>
          <w:b/>
          <w:sz w:val="20"/>
          <w:u w:val="single"/>
        </w:rPr>
      </w:r>
    </w:p>
    <w:p>
      <w:pPr>
        <w:pStyle w:val="Normal"/>
        <w:tabs>
          <w:tab w:val="clear" w:pos="720"/>
          <w:tab w:val="left" w:pos="2160" w:leader="none"/>
          <w:tab w:val="left" w:pos="2340" w:leader="none"/>
        </w:tabs>
        <w:spacing w:before="0" w:after="60"/>
        <w:ind w:hanging="2160" w:start="2160" w:end="0"/>
        <w:rPr/>
      </w:pPr>
      <w:r>
        <w:rPr>
          <w:b/>
          <w:sz w:val="20"/>
        </w:rPr>
        <w:t>Regulatory Agency</w:t>
      </w:r>
      <w:r>
        <w:rPr>
          <w:sz w:val="20"/>
        </w:rPr>
        <w:t>:</w:t>
        <w:tab/>
        <w:t>New Mexico Energy, Mineral and Natural Resources Department</w:t>
      </w:r>
    </w:p>
    <w:p>
      <w:pPr>
        <w:pStyle w:val="Normal"/>
        <w:tabs>
          <w:tab w:val="clear" w:pos="720"/>
          <w:tab w:val="left" w:pos="2160" w:leader="none"/>
          <w:tab w:val="left" w:pos="2340" w:leader="none"/>
        </w:tabs>
        <w:spacing w:before="0" w:after="60"/>
        <w:ind w:hanging="2160" w:start="2160" w:end="0"/>
        <w:rPr/>
      </w:pPr>
      <w:r>
        <w:rPr>
          <w:b/>
          <w:sz w:val="20"/>
        </w:rPr>
        <w:t>Phone #</w:t>
      </w:r>
      <w:r>
        <w:rPr>
          <w:sz w:val="20"/>
        </w:rPr>
        <w:t xml:space="preserve">: </w:t>
        <w:tab/>
        <w:t>(505) 476-3491</w:t>
      </w:r>
    </w:p>
    <w:p>
      <w:pPr>
        <w:pStyle w:val="Normal"/>
        <w:tabs>
          <w:tab w:val="clear" w:pos="720"/>
          <w:tab w:val="left" w:pos="2160" w:leader="none"/>
          <w:tab w:val="left" w:pos="2340" w:leader="none"/>
        </w:tabs>
        <w:spacing w:before="0" w:after="60"/>
        <w:ind w:hanging="2160" w:start="2160" w:end="0"/>
        <w:rPr/>
      </w:pPr>
      <w:r>
        <w:rPr>
          <w:b/>
          <w:sz w:val="20"/>
        </w:rPr>
        <w:t xml:space="preserve">Permit: </w:t>
        <w:tab/>
      </w:r>
      <w:r>
        <w:rPr>
          <w:sz w:val="20"/>
        </w:rPr>
        <w:t>Discharge Permit, regulated under Guidelines for Hydrostatic Test Dewatering, New Mexico Oil Conservation Division</w:t>
      </w:r>
    </w:p>
    <w:p>
      <w:pPr>
        <w:pStyle w:val="Normal"/>
        <w:tabs>
          <w:tab w:val="clear" w:pos="720"/>
          <w:tab w:val="left" w:pos="2160" w:leader="none"/>
          <w:tab w:val="left" w:pos="2340" w:leader="none"/>
        </w:tabs>
        <w:spacing w:before="0" w:after="60"/>
        <w:ind w:hanging="2160" w:start="2160" w:end="0"/>
        <w:rPr/>
      </w:pPr>
      <w:r>
        <w:rPr>
          <w:b/>
          <w:sz w:val="20"/>
        </w:rPr>
        <w:t>Permit Application:</w:t>
      </w:r>
      <w:r>
        <w:rPr>
          <w:sz w:val="20"/>
        </w:rPr>
        <w:tab/>
        <w:t>Letter of Notice/Application</w:t>
      </w:r>
    </w:p>
    <w:p>
      <w:pPr>
        <w:pStyle w:val="Normal"/>
        <w:tabs>
          <w:tab w:val="clear" w:pos="720"/>
          <w:tab w:val="left" w:pos="2160" w:leader="none"/>
          <w:tab w:val="left" w:pos="2340" w:leader="none"/>
        </w:tabs>
        <w:spacing w:before="0" w:after="60"/>
        <w:ind w:hanging="2160" w:start="2160" w:end="0"/>
        <w:rPr/>
      </w:pPr>
      <w:r>
        <w:rPr>
          <w:b/>
          <w:sz w:val="20"/>
        </w:rPr>
        <w:t>Application Due Date:</w:t>
        <w:tab/>
      </w:r>
      <w:r>
        <w:rPr>
          <w:sz w:val="20"/>
        </w:rPr>
        <w:t>Allow 60 days</w:t>
      </w:r>
    </w:p>
    <w:p>
      <w:pPr>
        <w:pStyle w:val="Normal"/>
        <w:tabs>
          <w:tab w:val="clear" w:pos="720"/>
          <w:tab w:val="left" w:pos="2160" w:leader="none"/>
          <w:tab w:val="left" w:pos="2340" w:leader="none"/>
        </w:tabs>
        <w:spacing w:before="0" w:after="60"/>
        <w:ind w:hanging="2160" w:start="2160" w:end="0"/>
        <w:rPr/>
      </w:pPr>
      <w:r>
        <w:rPr>
          <w:b/>
          <w:sz w:val="20"/>
        </w:rPr>
        <w:t>Permit Fee:</w:t>
      </w:r>
      <w:r>
        <w:rPr>
          <w:sz w:val="20"/>
        </w:rPr>
        <w:tab/>
        <w:t>None</w:t>
      </w:r>
    </w:p>
    <w:p>
      <w:pPr>
        <w:pStyle w:val="Normal"/>
        <w:tabs>
          <w:tab w:val="clear" w:pos="720"/>
          <w:tab w:val="left" w:pos="2160" w:leader="none"/>
        </w:tabs>
        <w:ind w:hanging="2160" w:start="2160" w:end="0"/>
        <w:rPr/>
      </w:pPr>
      <w:r>
        <w:rPr>
          <w:b/>
          <w:sz w:val="20"/>
        </w:rPr>
        <w:t>Notes:</w:t>
        <w:tab/>
      </w:r>
      <w:r>
        <w:rPr>
          <w:sz w:val="20"/>
        </w:rPr>
        <w:t>For discharge of hydrostatic test water under 100,000 gallons from a NEW pipe to land or waters that are not waters of the U.S., a letter of notice, explaining location, volume, water source, etc. should be sent to Roger Anderson at the NM EMNRD at PO Box 6429, Santa Fe, NM  87505.  Guidelines for Hydrostatic Test Dewatering (attached) should be followed.  No discharge can occur until NM EMNRD provides a letter of approval in response.</w:t>
      </w:r>
    </w:p>
    <w:p>
      <w:pPr>
        <w:pStyle w:val="BodyTextIndent2"/>
        <w:rPr/>
      </w:pPr>
      <w:r>
        <w:rPr/>
        <w:tab/>
        <w:t>For volumes over 100,000 gallons, discharge from a USED pipe, or in instances where other requirements for a general approval are not met (see guidelines), then a discharge permit must be obtained from the OCD.  A letter of application should be sent to obtain this permit.  The guidelines provide information on information to be included in letter of application.</w:t>
      </w:r>
    </w:p>
    <w:p>
      <w:pPr>
        <w:pStyle w:val="Normal"/>
        <w:tabs>
          <w:tab w:val="clear" w:pos="720"/>
          <w:tab w:val="left" w:pos="2160" w:leader="none"/>
        </w:tabs>
        <w:ind w:hanging="2160" w:start="2160" w:end="0"/>
        <w:rPr>
          <w:sz w:val="20"/>
        </w:rPr>
      </w:pPr>
      <w:r>
        <w:rPr>
          <w:sz w:val="20"/>
        </w:rPr>
      </w:r>
    </w:p>
    <w:p>
      <w:pPr>
        <w:pStyle w:val="Normal"/>
        <w:tabs>
          <w:tab w:val="clear" w:pos="720"/>
          <w:tab w:val="left" w:pos="2160" w:leader="none"/>
          <w:tab w:val="left" w:pos="2340" w:leader="none"/>
        </w:tabs>
        <w:spacing w:before="0" w:after="60"/>
        <w:ind w:hanging="2160" w:start="2160" w:end="0"/>
        <w:rPr/>
      </w:pPr>
      <w:r>
        <w:rPr>
          <w:b/>
          <w:sz w:val="20"/>
        </w:rPr>
        <w:t>Required Information:</w:t>
        <w:tab/>
      </w:r>
      <w:r>
        <w:rPr>
          <w:sz w:val="20"/>
        </w:rPr>
        <w:t>Required information for Letter of Application is listed in the Application.  Listed below is some of the information required.  Refer to the Application for a complete list of specific instructions and requirements.</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Map showing location of the pipelines to be tested</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Description of the proposed test including pigging and washing of the line prior to the hydrotest</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Point of discharge of the test water</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Method and location for collection and retention o fluids and solids</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A monitoring program which includes sampling approximately every 100,000 gallon</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Available information on the depth and quality of ground water at discharge site</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Geological characteristics of the subsurface at discharge site</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Plan for disposal of the test waters and solids</w:t>
      </w:r>
    </w:p>
    <w:p>
      <w:pPr>
        <w:pStyle w:val="Normal"/>
        <w:numPr>
          <w:ilvl w:val="0"/>
          <w:numId w:val="2"/>
        </w:numPr>
        <w:tabs>
          <w:tab w:val="clear" w:pos="720"/>
          <w:tab w:val="left" w:pos="2340" w:leader="none"/>
          <w:tab w:val="left" w:pos="2700" w:leader="none"/>
        </w:tabs>
        <w:spacing w:before="0" w:after="60"/>
        <w:ind w:hanging="180" w:start="2340" w:end="0"/>
        <w:rPr>
          <w:sz w:val="20"/>
        </w:rPr>
      </w:pPr>
      <w:r>
        <w:rPr>
          <w:sz w:val="20"/>
        </w:rPr>
        <w:t>Identification of landowners adjacent to the discharge and collection site</w:t>
      </w:r>
    </w:p>
    <w:p>
      <w:pPr>
        <w:pStyle w:val="Normal"/>
        <w:numPr>
          <w:ilvl w:val="0"/>
          <w:numId w:val="2"/>
        </w:numPr>
        <w:tabs>
          <w:tab w:val="clear" w:pos="720"/>
          <w:tab w:val="left" w:pos="2340" w:leader="none"/>
          <w:tab w:val="left" w:pos="2700" w:leader="none"/>
        </w:tabs>
        <w:spacing w:before="0" w:after="60"/>
        <w:ind w:hanging="180" w:start="2340" w:end="0"/>
        <w:rPr/>
      </w:pPr>
      <w:r>
        <w:rPr>
          <w:sz w:val="20"/>
        </w:rPr>
        <w:t>Written permission from the landowner of he collection/retention site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1224" w:hanging="360"/>
      </w:pPr>
      <w:rPr>
        <w:rFonts w:ascii="Symbol" w:hAnsi="Symbol" w:cs="Symbol" w:hint="default"/>
        <w:color w:val="auto"/>
      </w:rPr>
    </w:lvl>
  </w:abstractNum>
  <w:abstractNum w:abstractNumId="3">
    <w:lvl w:ilvl="0">
      <w:start w:val="2"/>
      <w:numFmt w:val="bullet"/>
      <w:lvlText w:val="-"/>
      <w:lvlJc w:val="start"/>
      <w:pPr>
        <w:tabs>
          <w:tab w:val="num" w:pos="1080"/>
        </w:tabs>
        <w:ind w:start="1080" w:hanging="36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Times New Roman" w:hAnsi="Times New Roman" w:cs="Times New Roman"/>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DefinitionList">
    <w:name w:val="Definition List"/>
    <w:basedOn w:val="Normal"/>
    <w:next w:val="Normal"/>
    <w:qFormat/>
    <w:pPr>
      <w:spacing w:lineRule="auto" w:line="240"/>
      <w:ind w:hanging="0" w:start="360" w:end="0"/>
    </w:pPr>
    <w:rPr>
      <w:rFonts w:ascii="Times New Roman" w:hAnsi="Times New Roman" w:cs="Times New Roman"/>
      <w:sz w:val="24"/>
      <w:lang w:eastAsia="en-US"/>
    </w:rPr>
  </w:style>
  <w:style w:type="paragraph" w:styleId="BodyTextIndent">
    <w:name w:val="Body Text Indent"/>
    <w:basedOn w:val="Normal"/>
    <w:pPr>
      <w:tabs>
        <w:tab w:val="clear" w:pos="720"/>
        <w:tab w:val="left" w:pos="2520" w:leader="none"/>
      </w:tabs>
      <w:ind w:hanging="0" w:start="2160" w:end="0"/>
    </w:pPr>
    <w:rPr>
      <w:sz w:val="20"/>
    </w:rPr>
  </w:style>
  <w:style w:type="paragraph" w:styleId="BodyTextIndent2">
    <w:name w:val="Body Text Indent 2"/>
    <w:basedOn w:val="Normal"/>
    <w:qFormat/>
    <w:pPr>
      <w:tabs>
        <w:tab w:val="clear" w:pos="720"/>
        <w:tab w:val="left" w:pos="2160" w:leader="none"/>
      </w:tabs>
      <w:ind w:hanging="2160" w:start="2160" w:end="0"/>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2001-09-14T17:28:00Z</dcterms:created>
  <dc:creator>Janet Wood</dc:creator>
  <dc:description/>
  <dc:language>en-CA</dc:language>
  <cp:lastModifiedBy> </cp:lastModifiedBy>
  <cp:lastPrinted>2001-08-01T15:21:00Z</cp:lastPrinted>
  <dcterms:modified xsi:type="dcterms:W3CDTF">2001-09-14T17:28:00Z</dcterms:modified>
  <cp:revision>3</cp:revision>
  <dc:subject/>
  <dc:title>Hydrostatic Test Water Discharge Permit</dc:title>
</cp:coreProperties>
</file>