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6"/>
        </w:rPr>
      </w:pPr>
      <w:r>
        <w:rPr>
          <w:b/>
          <w:sz w:val="26"/>
        </w:rPr>
        <w:t>STATEMENT OF JAMES D. STEFFES</w:t>
      </w:r>
    </w:p>
    <w:p>
      <w:pPr>
        <w:pStyle w:val="Normal"/>
        <w:jc w:val="center"/>
        <w:rPr>
          <w:b/>
          <w:sz w:val="26"/>
        </w:rPr>
      </w:pPr>
      <w:r>
        <w:rPr>
          <w:b/>
          <w:sz w:val="26"/>
        </w:rPr>
        <w:t>VICE PRESIDENT, GOVERNMENT AFFAIRS, ENRON CORP.</w:t>
      </w:r>
    </w:p>
    <w:p>
      <w:pPr>
        <w:pStyle w:val="Normal"/>
        <w:jc w:val="center"/>
        <w:rPr>
          <w:b/>
          <w:sz w:val="26"/>
        </w:rPr>
      </w:pPr>
      <w:r>
        <w:rPr>
          <w:b/>
          <w:sz w:val="26"/>
        </w:rPr>
        <w:t>ON BEHALF OF THE ELECTRIC POWER SUPPLY ASSOCIATION</w:t>
      </w:r>
    </w:p>
    <w:p>
      <w:pPr>
        <w:pStyle w:val="Normal"/>
        <w:jc w:val="both"/>
        <w:rPr>
          <w:b/>
          <w:sz w:val="26"/>
        </w:rPr>
      </w:pPr>
      <w:r>
        <w:rPr>
          <w:b/>
          <w:sz w:val="26"/>
        </w:rPr>
      </w:r>
    </w:p>
    <w:p>
      <w:pPr>
        <w:pStyle w:val="Normal"/>
        <w:jc w:val="center"/>
        <w:rPr>
          <w:b/>
          <w:sz w:val="26"/>
        </w:rPr>
      </w:pPr>
      <w:r>
        <w:rPr>
          <w:b/>
          <w:sz w:val="26"/>
        </w:rPr>
        <w:t>HOUSE COMMITTEE ON ENERGY AND COMMERCE</w:t>
        <w:br/>
        <w:t>SUBCOMMITTEE ON ENERGY AND AIR QUALITY</w:t>
      </w:r>
    </w:p>
    <w:p>
      <w:pPr>
        <w:pStyle w:val="Normal"/>
        <w:jc w:val="both"/>
        <w:rPr>
          <w:b/>
          <w:sz w:val="26"/>
        </w:rPr>
      </w:pPr>
      <w:r>
        <w:rPr>
          <w:b/>
          <w:sz w:val="26"/>
        </w:rPr>
      </w:r>
    </w:p>
    <w:p>
      <w:pPr>
        <w:pStyle w:val="Normal"/>
        <w:jc w:val="center"/>
        <w:rPr>
          <w:b/>
          <w:sz w:val="26"/>
        </w:rPr>
      </w:pPr>
      <w:r>
        <w:rPr>
          <w:b/>
          <w:sz w:val="26"/>
        </w:rPr>
        <w:t>“</w:t>
      </w:r>
      <w:r>
        <w:rPr>
          <w:b/>
          <w:sz w:val="26"/>
        </w:rPr>
        <w:t>ELECTRIC TRANSMISSION POLICY: SITING, INCENTIVE RATES &amp; RELIABILITY”</w:t>
      </w:r>
    </w:p>
    <w:p>
      <w:pPr>
        <w:pStyle w:val="Normal"/>
        <w:jc w:val="both"/>
        <w:rPr>
          <w:b/>
          <w:sz w:val="26"/>
        </w:rPr>
      </w:pPr>
      <w:r>
        <w:rPr>
          <w:b/>
          <w:sz w:val="26"/>
        </w:rPr>
      </w:r>
    </w:p>
    <w:p>
      <w:pPr>
        <w:pStyle w:val="Normal"/>
        <w:jc w:val="center"/>
        <w:rPr>
          <w:b/>
          <w:sz w:val="26"/>
        </w:rPr>
      </w:pPr>
      <w:r>
        <w:rPr>
          <w:b/>
          <w:sz w:val="26"/>
        </w:rPr>
        <w:t>September 11, 2001</w:t>
      </w:r>
    </w:p>
    <w:p>
      <w:pPr>
        <w:pStyle w:val="Normal"/>
        <w:jc w:val="both"/>
        <w:rPr>
          <w:b/>
          <w:sz w:val="26"/>
        </w:rPr>
      </w:pPr>
      <w:r>
        <w:rPr>
          <w:b/>
          <w:sz w:val="26"/>
        </w:rPr>
      </w:r>
    </w:p>
    <w:p>
      <w:pPr>
        <w:pStyle w:val="Normal"/>
        <w:spacing w:lineRule="auto" w:line="480"/>
        <w:jc w:val="both"/>
        <w:rPr>
          <w:sz w:val="26"/>
        </w:rPr>
      </w:pPr>
      <w:r>
        <w:rPr>
          <w:sz w:val="26"/>
        </w:rPr>
      </w:r>
    </w:p>
    <w:p>
      <w:pPr>
        <w:pStyle w:val="Normal"/>
        <w:spacing w:lineRule="auto" w:line="480"/>
        <w:jc w:val="both"/>
        <w:rPr>
          <w:sz w:val="26"/>
        </w:rPr>
      </w:pPr>
      <w:r>
        <w:rPr>
          <w:sz w:val="26"/>
        </w:rPr>
        <w:tab/>
        <w:t>Mr. Chairman and members of the Subcommittee, my name is Jim Steffes.  I am a Vice President, Government Affairs for Enron Corporation based in Houston, Texas, where my responsibilities center on regulatory policy including the topics you are considering in this hearing.  Enron is one of the world's leading energy, commodities and services companies.  The company markets electricity and natural gas, delivers energy and other physical commodities, and provides financial and risk management services to customers around the world.</w:t>
      </w:r>
    </w:p>
    <w:p>
      <w:pPr>
        <w:pStyle w:val="Normal"/>
        <w:spacing w:lineRule="auto" w:line="480"/>
        <w:jc w:val="both"/>
        <w:rPr>
          <w:sz w:val="26"/>
        </w:rPr>
      </w:pPr>
      <w:r>
        <w:rPr>
          <w:sz w:val="26"/>
        </w:rPr>
        <w:tab/>
        <w:t>I am pleased to be here today representing Enron and the member companies of the Electric Power Supply Association (EPSA), of which I presently serve as chairman of the Regulatory Affairs Committee.  EPSA is the national trade association representing competitive power suppliers, including independent power producers, merchant generators and power marketers.  EPSA members provide reliable, competitively priced electricity from environmentally responsible facilities in U.S. and global power markets.  On behalf of the competitive power industry, I thank you for this opportunity to address reliability, siting and transmission pricing incentives, as you consider electricity issues.</w:t>
      </w:r>
    </w:p>
    <w:p>
      <w:pPr>
        <w:pStyle w:val="Normal"/>
        <w:spacing w:lineRule="auto" w:line="480"/>
        <w:jc w:val="both"/>
        <w:rPr>
          <w:sz w:val="26"/>
        </w:rPr>
      </w:pPr>
      <w:r>
        <w:rPr>
          <w:sz w:val="26"/>
        </w:rPr>
      </w:r>
    </w:p>
    <w:p>
      <w:pPr>
        <w:pStyle w:val="Normal"/>
        <w:spacing w:lineRule="auto" w:line="480"/>
        <w:jc w:val="both"/>
        <w:rPr>
          <w:b/>
          <w:sz w:val="26"/>
          <w:u w:val="single"/>
        </w:rPr>
      </w:pPr>
      <w:r>
        <w:rPr>
          <w:b/>
          <w:sz w:val="26"/>
          <w:u w:val="single"/>
        </w:rPr>
        <w:t>Reliability</w:t>
      </w:r>
    </w:p>
    <w:p>
      <w:pPr>
        <w:pStyle w:val="Normal"/>
        <w:spacing w:lineRule="auto" w:line="480"/>
        <w:jc w:val="both"/>
        <w:rPr/>
      </w:pPr>
      <w:r>
        <w:rPr>
          <w:sz w:val="26"/>
        </w:rPr>
        <w:tab/>
        <w:t xml:space="preserve">Mr. Chairman, on the fundamental subject of the reliability of the bulk-power transmission system, there is general agreement on the need to replace today’s voluntary standards with mandatory standards that apply to all system users.  However, there is </w:t>
      </w:r>
      <w:r>
        <w:rPr>
          <w:sz w:val="26"/>
          <w:u w:val="single"/>
        </w:rPr>
        <w:t>not</w:t>
      </w:r>
      <w:r>
        <w:rPr>
          <w:sz w:val="26"/>
        </w:rPr>
        <w:t xml:space="preserve"> a consensus on how best to develop and enforce mandatory standards.  Furthermore, reliability legislation should be consistent with FERC’s approach to Regional Transmission Organizations (RTOs) and the importance of non-discriminatory, open access to the transmission grid if we are to bring the benefits of competition to consumers.</w:t>
      </w:r>
    </w:p>
    <w:p>
      <w:pPr>
        <w:pStyle w:val="Normal"/>
        <w:spacing w:lineRule="auto" w:line="480"/>
        <w:jc w:val="both"/>
        <w:rPr>
          <w:sz w:val="26"/>
        </w:rPr>
      </w:pPr>
      <w:r>
        <w:rPr>
          <w:sz w:val="26"/>
        </w:rPr>
        <w:tab/>
        <w:t>Congress faces an important choice between two alternative legislative approaches to achieving mandatory reliability standards.  First, Congress could enact a lengthy electric reliability title that entombs numerous details in statute that are normally left to the flexibility of the regulatory process.  Second, Congress could instead place mandatory reliability standards squarely under FERC’s jurisdiction and direct the agency to promptly conduct a rulemaking to establish an efficient standards-setting process and an effective enforcement mechanism.  We strongly favor the latter approach for the reasons stated below.</w:t>
      </w:r>
    </w:p>
    <w:p>
      <w:pPr>
        <w:pStyle w:val="Normal"/>
        <w:spacing w:lineRule="auto" w:line="480"/>
        <w:ind w:firstLine="720" w:end="0"/>
        <w:jc w:val="both"/>
        <w:rPr>
          <w:sz w:val="26"/>
        </w:rPr>
      </w:pPr>
      <w:r>
        <w:rPr>
          <w:sz w:val="26"/>
        </w:rPr>
        <w:t xml:space="preserve">The North American Electric Reliability Council (NERC) and those in its self-described “consensus group” continue to advocate what we and others regard as an unworkable regime that seeks to “wall off” reliability from inter-related subjects and thus undermine FERC’s responsibilities under the Federal Power Act.  This is because many subjects are not purely either reliability or commercial in nature.  For example, scheduling of specific power transactions is a commercial matter with reliability implications.   </w:t>
      </w:r>
    </w:p>
    <w:p>
      <w:pPr>
        <w:pStyle w:val="Normal"/>
        <w:spacing w:lineRule="auto" w:line="480"/>
        <w:ind w:firstLine="720" w:end="0"/>
        <w:jc w:val="both"/>
        <w:rPr>
          <w:sz w:val="26"/>
        </w:rPr>
      </w:pPr>
      <w:r>
        <w:rPr>
          <w:sz w:val="26"/>
        </w:rPr>
        <w:t>Given the importance Enron and other EPSA members attach to reliability, we participated in extensive discussions with NERC and others over the past several years to attempt to resolve our differences.  While that process did not produce agreement, we commend the extensive efforts that produced several proposals, including the version NERC released last month.  However, while the text of NERC’s latest proposal is shorter, it is still needlessly lengthy and cumbersome because it seeks to tackle matters best left to FERC.</w:t>
      </w:r>
    </w:p>
    <w:p>
      <w:pPr>
        <w:pStyle w:val="Normal"/>
        <w:spacing w:lineRule="auto" w:line="480"/>
        <w:ind w:firstLine="720" w:end="0"/>
        <w:jc w:val="both"/>
        <w:rPr>
          <w:sz w:val="26"/>
        </w:rPr>
      </w:pPr>
      <w:r>
        <w:rPr>
          <w:sz w:val="26"/>
        </w:rPr>
        <w:t>Unfortunately, the latest NERC proposal is still laden with procedural mechanisms and delegations of authority that limit rather than enhance FERC’s role on reliability matters.  It is clear to us from participating in the NERC discussions that those who endorse its approach intentionally seek to limit FERC’s authority over reliability in the name of enhancing reliability.   For example, while there is certainly a key role for industry input on reliability standards, the "self regulatory organization" as NERC proposes it would be too removed from FERC’s general regulatory responsibility over wholesale power markets.</w:t>
      </w:r>
    </w:p>
    <w:p>
      <w:pPr>
        <w:pStyle w:val="Normal"/>
        <w:spacing w:lineRule="auto" w:line="480"/>
        <w:ind w:firstLine="720" w:end="0"/>
        <w:jc w:val="both"/>
        <w:rPr>
          <w:sz w:val="26"/>
        </w:rPr>
      </w:pPr>
      <w:r>
        <w:rPr>
          <w:sz w:val="26"/>
        </w:rPr>
        <w:t xml:space="preserve"> </w:t>
      </w:r>
      <w:r>
        <w:rPr>
          <w:sz w:val="26"/>
        </w:rPr>
        <w:t>Similarly, while it may make sense for FERC to defer to specific regional entities or approve regional variances to otherwise uniform reliability rules, FERC should evaluate the merits of doing so a case-by-case basis.  It is simply unwise to statutorily mandate across-the-board regional reliability entities and regional rules variances, as the NERC legislation proposes.  If those seeking such entities or rules have a strong case in a particular instance, they should make that case to FERC for its determination based on a factual record.</w:t>
      </w:r>
    </w:p>
    <w:p>
      <w:pPr>
        <w:pStyle w:val="Normal"/>
        <w:spacing w:lineRule="auto" w:line="480"/>
        <w:ind w:firstLine="720" w:end="0"/>
        <w:jc w:val="both"/>
        <w:rPr>
          <w:sz w:val="26"/>
        </w:rPr>
      </w:pPr>
      <w:r>
        <w:rPr>
          <w:sz w:val="26"/>
        </w:rPr>
        <w:t>The approach we support is based on the traditional model that Congress normally follows of setting a general policy and directing the appropriate regulatory agency to carry it out, subject to congressional oversight.  With reliability, we respectfully recommend that Congress direct FERC to establish mandatory reliability standards.  After receiving public comments, FERC should determine the appropriate role of an industry organization to recommend standards and when to permit regional variances in reliability standards, among other details.  Nothing is gained by giving federal regulators a responsibility as important as keeping the lights on and then tying their hands.</w:t>
      </w:r>
    </w:p>
    <w:p>
      <w:pPr>
        <w:pStyle w:val="Normal"/>
        <w:spacing w:lineRule="auto" w:line="480"/>
        <w:ind w:firstLine="720" w:end="0"/>
        <w:jc w:val="both"/>
        <w:rPr>
          <w:sz w:val="26"/>
        </w:rPr>
      </w:pPr>
      <w:r>
        <w:rPr>
          <w:sz w:val="26"/>
        </w:rPr>
        <w:t>In sum, the agreed upon goal of strengthening electric reliability can best be achieved by leaving FERC with the discretion to make appropriate changes to the new mandatory reliability regime as changes in the bulk power system require.</w:t>
      </w:r>
    </w:p>
    <w:p>
      <w:pPr>
        <w:pStyle w:val="Normal"/>
        <w:spacing w:lineRule="auto" w:line="480"/>
        <w:ind w:firstLine="720" w:end="0"/>
        <w:jc w:val="both"/>
        <w:rPr>
          <w:sz w:val="26"/>
        </w:rPr>
      </w:pPr>
      <w:r>
        <w:rPr>
          <w:sz w:val="26"/>
        </w:rPr>
      </w:r>
    </w:p>
    <w:p>
      <w:pPr>
        <w:pStyle w:val="Heading1"/>
        <w:spacing w:lineRule="auto" w:line="480"/>
        <w:ind w:hanging="0" w:start="0"/>
        <w:jc w:val="both"/>
        <w:rPr>
          <w:rFonts w:ascii="Times New Roman" w:hAnsi="Times New Roman" w:cs="Times New Roman"/>
          <w:sz w:val="26"/>
          <w:u w:val="single"/>
        </w:rPr>
      </w:pPr>
      <w:r>
        <w:rPr>
          <w:rFonts w:cs="Times New Roman" w:ascii="Times New Roman" w:hAnsi="Times New Roman"/>
          <w:sz w:val="26"/>
          <w:u w:val="single"/>
        </w:rPr>
        <w:t>Siting</w:t>
      </w:r>
    </w:p>
    <w:p>
      <w:pPr>
        <w:pStyle w:val="Normal"/>
        <w:spacing w:lineRule="auto" w:line="480"/>
        <w:ind w:firstLine="720" w:end="0"/>
        <w:jc w:val="both"/>
        <w:rPr>
          <w:sz w:val="26"/>
        </w:rPr>
      </w:pPr>
      <w:r>
        <w:rPr>
          <w:sz w:val="26"/>
        </w:rPr>
        <w:t xml:space="preserve">The transmission grid is the backbone of the wholesale power market.  EPSA has repeatedly argued in favor of regulatory reform that provides consistent, non-discriminatory access to the grid.  But access becomes irrelevant if the physical infrastructure is inadequate to accommodate the commercial needs of power consumers, particularly when demand for electricity is projected to grow.  </w:t>
      </w:r>
    </w:p>
    <w:p>
      <w:pPr>
        <w:pStyle w:val="Normal"/>
        <w:spacing w:lineRule="auto" w:line="480"/>
        <w:ind w:firstLine="720" w:end="0"/>
        <w:jc w:val="both"/>
        <w:rPr>
          <w:sz w:val="26"/>
        </w:rPr>
      </w:pPr>
      <w:r>
        <w:rPr>
          <w:sz w:val="26"/>
        </w:rPr>
        <w:t>We support efforts to enhance the interstate grid.  The siting of new or expanded transmission facilities will be critical in this process.  As you know, siting issues are presently handled at the state or local level.  While this may have made sense at some time in the past, these policies will become a growing obstacle to the development of robust regional power markets.  Electric power will cost consumers more and be less reliable than it needs to be unless needed siting decisions are made and implemented.</w:t>
      </w:r>
    </w:p>
    <w:p>
      <w:pPr>
        <w:pStyle w:val="Normal"/>
        <w:spacing w:lineRule="auto" w:line="480"/>
        <w:ind w:firstLine="720" w:end="0"/>
        <w:jc w:val="both"/>
        <w:rPr>
          <w:sz w:val="26"/>
        </w:rPr>
      </w:pPr>
      <w:r>
        <w:rPr>
          <w:sz w:val="26"/>
        </w:rPr>
        <w:t>The Subcommittee is well aware of “Path 15” in California.  This transmission bottleneck has existed for many years, in spite of a well-documented need for improvements.  Last winter, the impact of poor siting policies was felt by thousands of businesses and families in northern California, when this bottleneck prevented available surplus power from southern California to reach the electricity-starved markets in the north.  Path 15 is not an isolated example.</w:t>
      </w:r>
    </w:p>
    <w:p>
      <w:pPr>
        <w:pStyle w:val="Normal"/>
        <w:spacing w:lineRule="auto" w:line="480"/>
        <w:ind w:firstLine="720" w:end="0"/>
        <w:jc w:val="both"/>
        <w:rPr/>
      </w:pPr>
      <w:r>
        <w:rPr>
          <w:sz w:val="26"/>
        </w:rPr>
        <w:t xml:space="preserve">Members of Congress and the Administration have proposed new policies that would make the siting process of </w:t>
      </w:r>
      <w:r>
        <w:rPr>
          <w:i/>
          <w:sz w:val="26"/>
          <w:u w:val="single"/>
        </w:rPr>
        <w:t>interstate</w:t>
      </w:r>
      <w:r>
        <w:rPr>
          <w:sz w:val="26"/>
        </w:rPr>
        <w:t xml:space="preserve"> transmission facilities reflect </w:t>
      </w:r>
      <w:r>
        <w:rPr>
          <w:i/>
          <w:sz w:val="26"/>
          <w:u w:val="single"/>
        </w:rPr>
        <w:t>interstate</w:t>
      </w:r>
      <w:r>
        <w:rPr>
          <w:sz w:val="26"/>
        </w:rPr>
        <w:t xml:space="preserve"> priorities.  EPSA strongly endorses these reforms as necessary and appropriate.  It will continue to be important to consider carefully the demands of the citizens in the towns and states where new transmission facilities are built.  However, the siting process must also reflect regional and national priorities.  Whether the Congress adopts a new policy patterned on the successful program that allows new interstate natural gas pipelines to be built or crafts a new approach that starts at the state and regional level, but uses a federal siting “backstop,” the time has come for new ideas and a new approach.</w:t>
      </w:r>
    </w:p>
    <w:p>
      <w:pPr>
        <w:pStyle w:val="Normal"/>
        <w:spacing w:lineRule="auto" w:line="480"/>
        <w:ind w:firstLine="720" w:end="0"/>
        <w:jc w:val="both"/>
        <w:rPr>
          <w:sz w:val="26"/>
        </w:rPr>
      </w:pPr>
      <w:r>
        <w:rPr>
          <w:sz w:val="26"/>
        </w:rPr>
      </w:r>
    </w:p>
    <w:p>
      <w:pPr>
        <w:pStyle w:val="Normal"/>
        <w:spacing w:lineRule="auto" w:line="480"/>
        <w:jc w:val="both"/>
        <w:rPr>
          <w:b/>
          <w:sz w:val="26"/>
          <w:u w:val="single"/>
        </w:rPr>
      </w:pPr>
      <w:r>
        <w:rPr>
          <w:b/>
          <w:sz w:val="26"/>
          <w:u w:val="single"/>
        </w:rPr>
        <w:t>Transmission Incentives</w:t>
      </w:r>
    </w:p>
    <w:p>
      <w:pPr>
        <w:pStyle w:val="Normal"/>
        <w:spacing w:lineRule="auto" w:line="480"/>
        <w:ind w:firstLine="720" w:end="0"/>
        <w:jc w:val="both"/>
        <w:rPr>
          <w:sz w:val="26"/>
        </w:rPr>
      </w:pPr>
      <w:r>
        <w:rPr>
          <w:sz w:val="26"/>
        </w:rPr>
        <w:t>The need for reform of the siting process is often coupled with a call for new financial incentives for transmission.  In general, EPSA has no objection to allowing a higher return on the development of critically needed transmission facilities.  In at least one instance, EPSA has made a direct plea to FERC to raise the rate-of-return for transmission facilities.  However, we would raise three caveats with regards to any policy that would expand or enhance financial incentives:</w:t>
      </w:r>
    </w:p>
    <w:p>
      <w:pPr>
        <w:pStyle w:val="Normal"/>
        <w:spacing w:lineRule="auto" w:line="480"/>
        <w:jc w:val="both"/>
        <w:rPr/>
      </w:pPr>
      <w:r>
        <w:rPr>
          <w:sz w:val="26"/>
        </w:rPr>
        <w:tab/>
      </w:r>
      <w:r>
        <w:rPr>
          <w:sz w:val="26"/>
          <w:u w:val="single"/>
        </w:rPr>
        <w:t>First</w:t>
      </w:r>
      <w:r>
        <w:rPr>
          <w:sz w:val="26"/>
        </w:rPr>
        <w:t xml:space="preserve">, FERC clearly has authority to be flexible in setting an allowable rate-of-return for new facilities.  Anyone advocating new legislative authority or requirements should first demonstrate why this existing authority is insufficient to encourage new development. </w:t>
      </w:r>
    </w:p>
    <w:p>
      <w:pPr>
        <w:pStyle w:val="Normal"/>
        <w:spacing w:lineRule="auto" w:line="480"/>
        <w:jc w:val="both"/>
        <w:rPr/>
      </w:pPr>
      <w:r>
        <w:rPr>
          <w:sz w:val="26"/>
        </w:rPr>
        <w:tab/>
      </w:r>
      <w:r>
        <w:rPr>
          <w:sz w:val="26"/>
          <w:u w:val="single"/>
        </w:rPr>
        <w:t>Second</w:t>
      </w:r>
      <w:r>
        <w:rPr>
          <w:sz w:val="26"/>
        </w:rPr>
        <w:t>, if the Congress endorses new policies to create new financial incentives, the process should hinge upon endorsement by a balanced, independent organization, such as an RTO.</w:t>
      </w:r>
    </w:p>
    <w:p>
      <w:pPr>
        <w:pStyle w:val="Normal"/>
        <w:spacing w:lineRule="auto" w:line="480"/>
        <w:ind w:firstLine="720" w:end="0"/>
        <w:jc w:val="both"/>
        <w:rPr/>
      </w:pPr>
      <w:r>
        <w:rPr>
          <w:sz w:val="26"/>
          <w:u w:val="single"/>
        </w:rPr>
        <w:t>Third</w:t>
      </w:r>
      <w:r>
        <w:rPr>
          <w:sz w:val="26"/>
        </w:rPr>
        <w:t>, if higher rates for new facilities are contingent upon a determination of critical need, it will be important to ensure that this policy does not inadvertently encourage a disregard of timely upgrades in the expectation that improvements to deteriorated infrastructure will bring a greater reward.</w:t>
      </w:r>
      <w:r>
        <w:br w:type="page"/>
      </w:r>
    </w:p>
    <w:p>
      <w:pPr>
        <w:pStyle w:val="Normal"/>
        <w:spacing w:lineRule="auto" w:line="480"/>
        <w:jc w:val="both"/>
        <w:rPr>
          <w:b/>
          <w:sz w:val="26"/>
          <w:u w:val="single"/>
        </w:rPr>
      </w:pPr>
      <w:r>
        <w:rPr>
          <w:b/>
          <w:sz w:val="26"/>
          <w:u w:val="single"/>
        </w:rPr>
        <w:t>Inter-Relationship of Transmission Policy Issues</w:t>
      </w:r>
    </w:p>
    <w:p>
      <w:pPr>
        <w:pStyle w:val="Normal"/>
        <w:spacing w:lineRule="auto" w:line="480"/>
        <w:jc w:val="both"/>
        <w:rPr>
          <w:sz w:val="26"/>
        </w:rPr>
      </w:pPr>
      <w:r>
        <w:rPr>
          <w:sz w:val="26"/>
        </w:rPr>
        <w:tab/>
        <w:t>While the Subcommittee will hear testimony later this week on Regional Transmission Organizations (RTOs), we want to stress how appropriately structured RTOs are the strongest foundation for sound transmission policies, including those being considered in this hearing.</w:t>
      </w:r>
    </w:p>
    <w:p>
      <w:pPr>
        <w:pStyle w:val="Normal"/>
        <w:spacing w:lineRule="auto" w:line="480"/>
        <w:jc w:val="both"/>
        <w:rPr>
          <w:sz w:val="26"/>
        </w:rPr>
      </w:pPr>
      <w:r>
        <w:rPr>
          <w:sz w:val="26"/>
        </w:rPr>
        <w:tab/>
        <w:t>In our view, it is critical that Congress support the formation of RTOs of sufficient size and configuration as to facilitate strong regional power markets that will bring power from where it exists to where it is needed.  If this overriding objective is achieved, other transmission benefits will follow.</w:t>
      </w:r>
    </w:p>
    <w:p>
      <w:pPr>
        <w:pStyle w:val="Normal"/>
        <w:spacing w:lineRule="auto" w:line="480"/>
        <w:jc w:val="both"/>
        <w:rPr>
          <w:sz w:val="26"/>
        </w:rPr>
      </w:pPr>
      <w:r>
        <w:rPr>
          <w:sz w:val="26"/>
        </w:rPr>
        <w:tab/>
        <w:t>For example, reliability em will be enhanced as strong RTOs in a transmission system based on non-discriminatory access bring power to where it is needed.  Similarly, RTOs as FERC envisions them maximize efficient use of generation and transmission assets, reducing (though not eliminating) the need for some facilities and related siting decisions.  As to incentives, investments for the benefit of regional markets are more likely to be made when those assets are operated within the type of RTO structure we support, rather than as part of vertically integrated utility systems.</w:t>
      </w:r>
    </w:p>
    <w:p>
      <w:pPr>
        <w:pStyle w:val="Normal"/>
        <w:spacing w:lineRule="auto" w:line="480"/>
        <w:ind w:firstLine="720" w:end="0"/>
        <w:jc w:val="both"/>
        <w:rPr>
          <w:sz w:val="26"/>
        </w:rPr>
      </w:pPr>
      <w:r>
        <w:rPr>
          <w:sz w:val="26"/>
        </w:rPr>
      </w:r>
    </w:p>
    <w:p>
      <w:pPr>
        <w:pStyle w:val="Normal"/>
        <w:spacing w:lineRule="auto" w:line="480"/>
        <w:jc w:val="both"/>
        <w:rPr>
          <w:b/>
          <w:sz w:val="26"/>
          <w:u w:val="single"/>
        </w:rPr>
      </w:pPr>
      <w:r>
        <w:rPr>
          <w:b/>
          <w:sz w:val="26"/>
          <w:u w:val="single"/>
        </w:rPr>
        <w:t>Conclusion</w:t>
      </w:r>
    </w:p>
    <w:p>
      <w:pPr>
        <w:pStyle w:val="Normal"/>
        <w:spacing w:lineRule="auto" w:line="480"/>
        <w:ind w:firstLine="720" w:end="0"/>
        <w:jc w:val="both"/>
        <w:rPr>
          <w:sz w:val="26"/>
        </w:rPr>
      </w:pPr>
      <w:r>
        <w:rPr>
          <w:sz w:val="26"/>
        </w:rPr>
        <w:t>In conclusion, Mr. Chairman, we thank you and the Subcommittee for this opportunity to present these views on reliability, siting and transmission pricing incentives.  We look forward to continuing to work with you and your colleagues as you develop electricity legislation in the weeks to come.</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Cs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2001-09-07T10:30:00Z</dcterms:created>
  <dc:creator>JSHELK</dc:creator>
  <dc:description/>
  <dc:language>en-CA</dc:language>
  <cp:lastModifiedBy>Information Systems</cp:lastModifiedBy>
  <cp:lastPrinted>2001-09-09T21:15:00Z</cp:lastPrinted>
  <dcterms:modified xsi:type="dcterms:W3CDTF">2001-09-09T22:45:00Z</dcterms:modified>
  <cp:revision>11</cp:revision>
  <dc:subject/>
  <dc:title>STATEMENT OF JAMES D</dc:title>
</cp:coreProperties>
</file>