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8"/>
        </w:rPr>
      </w:pPr>
      <w:r>
        <w:rPr>
          <w:b/>
          <w:sz w:val="28"/>
        </w:rPr>
        <w:t>UNITED STATES OF AMERICA</w:t>
      </w:r>
    </w:p>
    <w:p>
      <w:pPr>
        <w:pStyle w:val="Normal"/>
        <w:widowControl/>
        <w:jc w:val="center"/>
        <w:rPr>
          <w:b/>
          <w:sz w:val="28"/>
        </w:rPr>
      </w:pPr>
      <w:r>
        <w:rPr>
          <w:b/>
          <w:sz w:val="28"/>
        </w:rPr>
        <w:t>BEFORE THE</w:t>
      </w:r>
    </w:p>
    <w:p>
      <w:pPr>
        <w:pStyle w:val="Normal"/>
        <w:widowControl/>
        <w:jc w:val="center"/>
        <w:rPr>
          <w:sz w:val="28"/>
        </w:rPr>
      </w:pPr>
      <w:r>
        <w:rPr>
          <w:b/>
          <w:sz w:val="28"/>
        </w:rPr>
        <w:t>FEDERAL ENERGY REGULATORY COMMISSION</w:t>
      </w:r>
    </w:p>
    <w:p>
      <w:pPr>
        <w:pStyle w:val="Normal"/>
        <w:widowControl/>
        <w:jc w:val="center"/>
        <w:rPr>
          <w:sz w:val="28"/>
        </w:rPr>
      </w:pPr>
      <w:r>
        <w:rPr>
          <w:sz w:val="28"/>
        </w:rPr>
      </w:r>
    </w:p>
    <w:p>
      <w:pPr>
        <w:pStyle w:val="Normal"/>
        <w:widowControl/>
        <w:jc w:val="both"/>
        <w:rPr/>
      </w:pPr>
      <w:r>
        <w:rPr/>
        <w:t>__________________________________________</w:t>
      </w:r>
    </w:p>
    <w:p>
      <w:pPr>
        <w:pStyle w:val="Normal"/>
        <w:widowControl/>
        <w:ind w:firstLine="5040" w:end="0"/>
        <w:jc w:val="both"/>
        <w:rPr/>
      </w:pPr>
      <w:r>
        <w:rPr/>
        <w:t>)</w:t>
      </w:r>
    </w:p>
    <w:p>
      <w:pPr>
        <w:pStyle w:val="Normal"/>
        <w:widowControl/>
        <w:tabs>
          <w:tab w:val="clear" w:pos="720"/>
          <w:tab w:val="left" w:pos="-1440" w:leader="none"/>
        </w:tabs>
        <w:ind w:hanging="5040" w:start="5040" w:end="0"/>
        <w:jc w:val="both"/>
        <w:rPr/>
      </w:pPr>
      <w:r>
        <w:rPr/>
        <w:t>San Diego Gas &amp; Electric Company,</w:t>
        <w:tab/>
        <w:tab/>
        <w:tab/>
        <w:t>)</w:t>
      </w:r>
    </w:p>
    <w:p>
      <w:pPr>
        <w:pStyle w:val="Normal"/>
        <w:widowControl/>
        <w:ind w:firstLine="5040" w:end="0"/>
        <w:jc w:val="both"/>
        <w:rPr/>
      </w:pPr>
      <w:r>
        <w:rPr/>
        <w:t>)</w:t>
      </w:r>
    </w:p>
    <w:p>
      <w:pPr>
        <w:pStyle w:val="Normal"/>
        <w:widowControl/>
        <w:ind w:firstLine="2880" w:end="0"/>
        <w:jc w:val="both"/>
        <w:rPr/>
      </w:pPr>
      <w:r>
        <w:rPr/>
        <w:t>Complainant</w:t>
        <w:tab/>
        <w:tab/>
        <w:t>)</w:t>
      </w:r>
    </w:p>
    <w:p>
      <w:pPr>
        <w:pStyle w:val="Normal"/>
        <w:widowControl/>
        <w:jc w:val="both"/>
        <w:rPr/>
      </w:pPr>
      <w:r>
        <w:rPr/>
        <w:t xml:space="preserve"> </w:t>
      </w:r>
      <w:r>
        <w:rPr/>
        <w:tab/>
        <w:tab/>
        <w:tab/>
        <w:tab/>
        <w:tab/>
        <w:tab/>
        <w:tab/>
        <w:t>)</w:t>
      </w:r>
    </w:p>
    <w:p>
      <w:pPr>
        <w:pStyle w:val="Normal"/>
        <w:widowControl/>
        <w:ind w:firstLine="5040" w:end="0"/>
        <w:jc w:val="both"/>
        <w:rPr/>
      </w:pPr>
      <w:r>
        <w:rPr/>
        <w:t>)</w:t>
      </w:r>
    </w:p>
    <w:p>
      <w:pPr>
        <w:pStyle w:val="Normal"/>
        <w:widowControl/>
        <w:ind w:firstLine="1440" w:end="0"/>
        <w:jc w:val="both"/>
        <w:rPr/>
      </w:pPr>
      <w:r>
        <w:rPr/>
        <w:t>v.</w:t>
        <w:tab/>
        <w:tab/>
        <w:tab/>
        <w:tab/>
        <w:tab/>
        <w:t>)</w:t>
      </w:r>
    </w:p>
    <w:p>
      <w:pPr>
        <w:pStyle w:val="Normal"/>
        <w:widowControl/>
        <w:ind w:firstLine="5040" w:end="0"/>
        <w:jc w:val="both"/>
        <w:rPr/>
      </w:pPr>
      <w:r>
        <w:rPr/>
        <w:t>)</w:t>
      </w:r>
    </w:p>
    <w:p>
      <w:pPr>
        <w:pStyle w:val="Normal"/>
        <w:widowControl/>
        <w:jc w:val="both"/>
        <w:rPr/>
      </w:pPr>
      <w:r>
        <w:rPr/>
        <w:t>Sellers of Energy and Ancillary Services</w:t>
        <w:tab/>
        <w:tab/>
        <w:t>)</w:t>
        <w:tab/>
        <w:t>Docket No. EL00-95-031</w:t>
      </w:r>
    </w:p>
    <w:p>
      <w:pPr>
        <w:pStyle w:val="Normal"/>
        <w:widowControl/>
        <w:jc w:val="both"/>
        <w:rPr/>
      </w:pPr>
      <w:r>
        <w:rPr/>
        <w:t>into Markets Operated by the California</w:t>
        <w:tab/>
        <w:tab/>
        <w:t>)</w:t>
      </w:r>
    </w:p>
    <w:p>
      <w:pPr>
        <w:pStyle w:val="Normal"/>
        <w:widowControl/>
        <w:jc w:val="both"/>
        <w:rPr/>
      </w:pPr>
      <w:r>
        <w:rPr/>
        <w:t>Independent System Operator and the</w:t>
        <w:tab/>
        <w:tab/>
        <w:t>)</w:t>
      </w:r>
    </w:p>
    <w:p>
      <w:pPr>
        <w:pStyle w:val="Normal"/>
        <w:widowControl/>
        <w:tabs>
          <w:tab w:val="clear" w:pos="720"/>
          <w:tab w:val="left" w:pos="-1440" w:leader="none"/>
        </w:tabs>
        <w:ind w:hanging="5040" w:start="5040" w:end="0"/>
        <w:jc w:val="both"/>
        <w:rPr/>
      </w:pPr>
      <w:r>
        <w:rPr/>
        <w:t>California Power Exchange,</w:t>
        <w:tab/>
        <w:tab/>
        <w:tab/>
        <w:tab/>
        <w:t>)</w:t>
      </w:r>
    </w:p>
    <w:p>
      <w:pPr>
        <w:pStyle w:val="Normal"/>
        <w:widowControl/>
        <w:ind w:firstLine="5040" w:end="0"/>
        <w:jc w:val="both"/>
        <w:rPr/>
      </w:pPr>
      <w:r>
        <w:rPr/>
        <w:t>)</w:t>
      </w:r>
    </w:p>
    <w:p>
      <w:pPr>
        <w:pStyle w:val="Normal"/>
        <w:widowControl/>
        <w:tabs>
          <w:tab w:val="clear" w:pos="720"/>
          <w:tab w:val="left" w:pos="-1440" w:leader="none"/>
        </w:tabs>
        <w:ind w:hanging="2160" w:start="5040" w:end="0"/>
        <w:jc w:val="both"/>
        <w:rPr/>
      </w:pPr>
      <w:r>
        <w:rPr/>
        <w:t xml:space="preserve"> </w:t>
      </w:r>
      <w:r>
        <w:rPr/>
        <w:t>Respondents.</w:t>
        <w:tab/>
        <w:tab/>
        <w:t>)</w:t>
      </w:r>
    </w:p>
    <w:p>
      <w:pPr>
        <w:pStyle w:val="Normal"/>
        <w:widowControl/>
        <w:jc w:val="both"/>
        <w:rPr/>
      </w:pPr>
      <w:r>
        <w:rPr/>
        <w:t>__________________________________________)</w:t>
      </w:r>
    </w:p>
    <w:p>
      <w:pPr>
        <w:pStyle w:val="Normal"/>
        <w:widowControl/>
        <w:jc w:val="both"/>
        <w:rPr/>
      </w:pPr>
      <w:r>
        <w:rPr/>
      </w:r>
    </w:p>
    <w:p>
      <w:pPr>
        <w:pStyle w:val="Normal"/>
        <w:widowControl/>
        <w:jc w:val="center"/>
        <w:rPr>
          <w:b/>
          <w:sz w:val="28"/>
        </w:rPr>
      </w:pPr>
      <w:r>
        <w:rPr>
          <w:b/>
          <w:sz w:val="28"/>
        </w:rPr>
        <w:t xml:space="preserve">STATEMENT OF ENRON POWER MARKETING, INC. AND </w:t>
      </w:r>
    </w:p>
    <w:p>
      <w:pPr>
        <w:pStyle w:val="Normal"/>
        <w:widowControl/>
        <w:jc w:val="center"/>
        <w:rPr>
          <w:b/>
          <w:sz w:val="28"/>
        </w:rPr>
      </w:pPr>
      <w:r>
        <w:rPr>
          <w:b/>
          <w:sz w:val="28"/>
        </w:rPr>
        <w:t>ENRON ENERGY SERVICESIN CONNECTION WITH MEDIATION</w:t>
      </w:r>
    </w:p>
    <w:p>
      <w:pPr>
        <w:pStyle w:val="Normal"/>
        <w:widowControl/>
        <w:jc w:val="center"/>
        <w:rPr>
          <w:sz w:val="28"/>
        </w:rPr>
      </w:pPr>
      <w:r>
        <w:rPr>
          <w:b/>
          <w:sz w:val="28"/>
        </w:rPr>
        <w:t xml:space="preserve"> </w:t>
      </w:r>
      <w:r>
        <w:rPr>
          <w:b/>
          <w:sz w:val="28"/>
        </w:rPr>
        <w:t>BEFORE CHIEF JUDGE WAGNER</w:t>
      </w:r>
    </w:p>
    <w:p>
      <w:pPr>
        <w:pStyle w:val="Normal"/>
        <w:widowControl/>
        <w:jc w:val="both"/>
        <w:rPr>
          <w:b/>
          <w:sz w:val="28"/>
        </w:rPr>
      </w:pPr>
      <w:r>
        <w:rPr>
          <w:b/>
          <w:sz w:val="28"/>
        </w:rPr>
      </w:r>
    </w:p>
    <w:p>
      <w:pPr>
        <w:pStyle w:val="Normal"/>
        <w:widowControl/>
        <w:jc w:val="both"/>
        <w:rPr>
          <w:b/>
        </w:rPr>
      </w:pPr>
      <w:r>
        <w:rPr>
          <w:b/>
        </w:rPr>
        <w:t>TO:</w:t>
        <w:tab/>
        <w:t>THE HONORABLE CURTIS L. WAGNER, JR.</w:t>
      </w:r>
    </w:p>
    <w:p>
      <w:pPr>
        <w:pStyle w:val="Normal"/>
        <w:widowControl/>
        <w:ind w:firstLine="720" w:end="0"/>
        <w:jc w:val="both"/>
        <w:rPr>
          <w:b/>
        </w:rPr>
      </w:pPr>
      <w:r>
        <w:rPr>
          <w:b/>
        </w:rPr>
        <w:t>CHIEF ADMINISTRATIVE LAW JUDGE</w:t>
      </w:r>
    </w:p>
    <w:p>
      <w:pPr>
        <w:pStyle w:val="Normal"/>
        <w:widowControl/>
        <w:ind w:firstLine="720" w:end="0"/>
        <w:jc w:val="both"/>
        <w:rPr/>
      </w:pPr>
      <w:r>
        <w:rPr/>
      </w:r>
    </w:p>
    <w:p>
      <w:pPr>
        <w:pStyle w:val="Normal"/>
        <w:widowControl/>
        <w:spacing w:lineRule="auto" w:line="480"/>
        <w:ind w:firstLine="720" w:end="0"/>
        <w:jc w:val="both"/>
        <w:rPr/>
      </w:pPr>
      <w:r>
        <w:rPr/>
        <w:t xml:space="preserve">Enron Power Marketing, Inc. ("EPMI") and Enron Energy Services ("EES") (collectively, "Enron") offer this statement in connection with their participation in the Settlement proceedings in the above-captioned proceeding.  </w:t>
      </w:r>
    </w:p>
    <w:p>
      <w:pPr>
        <w:pStyle w:val="Heading2"/>
        <w:rPr/>
      </w:pPr>
      <w:r>
        <w:rPr/>
        <w:t>STATEMENT</w:t>
      </w:r>
    </w:p>
    <w:p>
      <w:pPr>
        <w:pStyle w:val="Normal"/>
        <w:widowControl/>
        <w:tabs>
          <w:tab w:val="clear" w:pos="720"/>
          <w:tab w:val="left" w:pos="-1440" w:leader="none"/>
        </w:tabs>
        <w:jc w:val="center"/>
        <w:rPr>
          <w:b/>
          <w:sz w:val="32"/>
        </w:rPr>
      </w:pPr>
      <w:r>
        <w:rPr>
          <w:b/>
          <w:sz w:val="32"/>
        </w:rPr>
      </w:r>
    </w:p>
    <w:p>
      <w:pPr>
        <w:pStyle w:val="Heading1"/>
        <w:ind w:hanging="0" w:start="0"/>
        <w:rPr/>
      </w:pPr>
      <w:r>
        <w:rPr/>
        <w:t>Enron’s Participation in Mediation</w:t>
      </w:r>
    </w:p>
    <w:p>
      <w:pPr>
        <w:pStyle w:val="Normal"/>
        <w:rPr/>
      </w:pPr>
      <w:r>
        <w:rPr/>
      </w:r>
    </w:p>
    <w:p>
      <w:pPr>
        <w:pStyle w:val="BodyText2"/>
        <w:tabs>
          <w:tab w:val="clear" w:pos="1440"/>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 xml:space="preserve">Despite suspect factual and legal underpinnings for Governor Davis’s and the California delegation’s mantra that the state is owed nearly $9 billion, Enron participated in the Commission-ordered mediation and dedicated the resources and time to work toward a rational and principled resolution of not only California’s claims, but also of the root problems that continue to plague California and impose mounting costs on its consumers.  Unfortunately, from the opening hour forward, it became apparent that the California delegation had no interest in a mediated resolution; instead, it came to divert attention away from the state’s inept management of the crisis that it itself caused by scapegoating the Commission and nefarious “out-of-state” power suppliers.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t>Even if the Commission chooses to overlook California’s authorship of its ongoing debacle, the Commission should nevertheless not cast too wide a net in search of dollars to placate Governor Davis and his entourage.  While Enron cannot speak for other power suppliers, Enron has overcharged no one and should have no offset or refund exposure.  Rather, Enron at all times complied with its Commission-approved rate schedules and the California-authored and Commission-approved rules for trading in California’s two centrally administered clearinghouse markets.</w:t>
      </w:r>
    </w:p>
    <w:p>
      <w:pPr>
        <w:pStyle w:val="Normal"/>
        <w:widowControl/>
        <w:numPr>
          <w:ilvl w:val="0"/>
          <w:numId w:val="3"/>
        </w:numPr>
        <w:tabs>
          <w:tab w:val="clear" w:pos="720"/>
          <w:tab w:val="left" w:pos="-1440" w:leader="none"/>
        </w:tabs>
        <w:jc w:val="both"/>
        <w:rPr>
          <w:b/>
          <w:i/>
          <w:i/>
          <w:sz w:val="26"/>
        </w:rPr>
      </w:pPr>
      <w:r>
        <w:rPr>
          <w:b/>
          <w:i/>
          <w:sz w:val="26"/>
        </w:rPr>
        <w:t>Enron’s Role in California</w:t>
      </w:r>
    </w:p>
    <w:p>
      <w:pPr>
        <w:pStyle w:val="Normal"/>
        <w:widowControl/>
        <w:tabs>
          <w:tab w:val="clear" w:pos="720"/>
          <w:tab w:val="left" w:pos="-1440" w:leader="none"/>
        </w:tabs>
        <w:ind w:start="720" w:end="0"/>
        <w:jc w:val="both"/>
        <w:rPr>
          <w:b/>
          <w:i/>
          <w:i/>
          <w:sz w:val="26"/>
        </w:rPr>
      </w:pPr>
      <w:r>
        <w:rPr>
          <w:b/>
          <w:i/>
          <w:sz w:val="26"/>
        </w:rPr>
      </w:r>
    </w:p>
    <w:p>
      <w:pPr>
        <w:pStyle w:val="Normal"/>
        <w:widowControl/>
        <w:spacing w:lineRule="auto" w:line="480"/>
        <w:ind w:firstLine="720" w:end="0"/>
        <w:jc w:val="both"/>
        <w:rPr/>
      </w:pPr>
      <w:r>
        <w:rPr/>
        <w:t>Enron is a marketer in California. It is not a generator— it owns no physical generation capacity in the Western markets</w:t>
      </w:r>
      <w:r>
        <w:rPr>
          <w:rStyle w:val="FootnoteCharacters"/>
          <w:rStyle w:val="FootnoteReference"/>
          <w:vertAlign w:val="superscript"/>
        </w:rPr>
        <w:footnoteReference w:id="2"/>
      </w:r>
      <w:r>
        <w:rPr/>
        <w:t xml:space="preserve"> — nor is it simply a buyer serving retail customers.  In the wholesale market, Enron provides liquidity and transparency to other wholesalers, managing price risk and improving overall market efficiency.  In the retail market, Enron is a registered Electric Service Provider ("ESP") of innovative retail electricity services to commercial and industrial customers.  In both the wholesale and retail California markets, Enron has no interest in seeing "high" prices.  Rather, Enron's interest is in developing workably competitive markets. </w:t>
      </w:r>
    </w:p>
    <w:p>
      <w:pPr>
        <w:pStyle w:val="Normal"/>
        <w:widowControl/>
        <w:numPr>
          <w:ilvl w:val="0"/>
          <w:numId w:val="3"/>
        </w:numPr>
        <w:tabs>
          <w:tab w:val="clear" w:pos="720"/>
          <w:tab w:val="left" w:pos="-1440" w:leader="none"/>
        </w:tabs>
        <w:jc w:val="both"/>
        <w:rPr>
          <w:b/>
          <w:i/>
          <w:i/>
          <w:sz w:val="26"/>
        </w:rPr>
      </w:pPr>
      <w:r>
        <w:rPr>
          <w:b/>
          <w:i/>
          <w:sz w:val="26"/>
        </w:rPr>
        <w:t>Enron Played by Commission Rules</w:t>
      </w:r>
    </w:p>
    <w:p>
      <w:pPr>
        <w:pStyle w:val="Normal"/>
        <w:widowControl/>
        <w:tabs>
          <w:tab w:val="clear" w:pos="720"/>
          <w:tab w:val="left" w:pos="-1440" w:leader="none"/>
        </w:tabs>
        <w:ind w:start="720" w:end="0"/>
        <w:jc w:val="both"/>
        <w:rPr>
          <w:b/>
          <w:i/>
          <w:i/>
          <w:sz w:val="26"/>
        </w:rPr>
      </w:pPr>
      <w:r>
        <w:rPr>
          <w:b/>
          <w:i/>
          <w:sz w:val="26"/>
        </w:rPr>
      </w:r>
    </w:p>
    <w:p>
      <w:pPr>
        <w:pStyle w:val="Normal"/>
        <w:widowControl/>
        <w:spacing w:lineRule="auto" w:line="480"/>
        <w:ind w:firstLine="720" w:end="0"/>
        <w:jc w:val="both"/>
        <w:rPr/>
      </w:pPr>
      <w:r>
        <w:rPr/>
        <w:t>The Commission accepted EPMI's and EES' Rate Schedules FERC No. 1, authorizing them EPMI and EES to sell power at market prices in California and elsewhere</w:t>
      </w:r>
      <w:r>
        <w:rPr>
          <w:rStyle w:val="FootnoteCharacters"/>
          <w:rStyle w:val="FootnoteReference"/>
          <w:vertAlign w:val="superscript"/>
        </w:rPr>
        <w:footnoteReference w:id="3"/>
      </w:r>
      <w:r>
        <w:rPr/>
        <w:t xml:space="preserve"> based on its specific findings that neither possessed market power. At all times, Enron has complied with these rate schedules; no one has ever found to the contrary.  Moreover, as a marketer in California, Enron transacted primarily as a "price taker,” as the Commission itself concluded in the June 19, 2001, order.  </w:t>
      </w:r>
      <w:r>
        <w:rPr>
          <w:i/>
        </w:rPr>
        <w:t>See San Diego Gas &amp; Electric Co. v. Sellers of Energy and Ancillary Services Into Markets Operated by the California Independent System Operator Corporation and the California Power Exchange</w:t>
      </w:r>
      <w:r>
        <w:rPr/>
        <w:t>, 95 F.E.R.C. ¶ 61,418 (2001)("June 19 Order").</w:t>
      </w:r>
    </w:p>
    <w:p>
      <w:pPr>
        <w:pStyle w:val="Normal"/>
        <w:widowControl/>
        <w:numPr>
          <w:ilvl w:val="0"/>
          <w:numId w:val="3"/>
        </w:numPr>
        <w:tabs>
          <w:tab w:val="clear" w:pos="720"/>
          <w:tab w:val="left" w:pos="-1440" w:leader="none"/>
        </w:tabs>
        <w:jc w:val="both"/>
        <w:rPr>
          <w:b/>
          <w:i/>
          <w:i/>
          <w:sz w:val="26"/>
        </w:rPr>
      </w:pPr>
      <w:r>
        <w:rPr>
          <w:b/>
          <w:i/>
          <w:sz w:val="26"/>
        </w:rPr>
        <w:t>California Created &amp; Continues to Exacerbate the State’s Power Crisis</w:t>
      </w:r>
    </w:p>
    <w:p>
      <w:pPr>
        <w:pStyle w:val="Normal"/>
        <w:widowControl/>
        <w:tabs>
          <w:tab w:val="clear" w:pos="720"/>
          <w:tab w:val="left" w:pos="-1440" w:leader="none"/>
        </w:tabs>
        <w:jc w:val="both"/>
        <w:rPr>
          <w:b/>
          <w:i/>
          <w:i/>
          <w:sz w:val="26"/>
        </w:rPr>
      </w:pPr>
      <w:r>
        <w:rPr>
          <w:b/>
          <w:i/>
          <w:sz w:val="26"/>
        </w:rPr>
      </w:r>
    </w:p>
    <w:p>
      <w:pPr>
        <w:pStyle w:val="Normal"/>
        <w:widowControl/>
        <w:spacing w:lineRule="auto" w:line="480"/>
        <w:ind w:firstLine="720" w:end="0"/>
        <w:jc w:val="both"/>
        <w:rPr/>
      </w:pPr>
      <w:r>
        <w:rPr/>
        <w:t>In the months since supply shortages began to wreak havoc on California centrally administered power markets, there have been multiple investigations into the causes of the crisis.  Uniformly, the investigators report that the crisis was caused, not by evil suppliers, but rather by a badly flawed market structure that channeled all (but too little) bulk power into a short-term, price-decontrolled wholesale market and completely divorced that market from the price-controlled retail market.</w:t>
      </w:r>
      <w:r>
        <w:rPr>
          <w:rStyle w:val="FootnoteCharacters"/>
          <w:rStyle w:val="FootnoteReference"/>
          <w:vertAlign w:val="superscript"/>
        </w:rPr>
        <w:footnoteReference w:id="4"/>
      </w:r>
      <w:r>
        <w:rPr/>
        <w:t xml:space="preserve">  This transformed a problem of resource scarcity into a financial crisis that has already bankrupted one California utility.</w:t>
      </w:r>
      <w:r>
        <w:rPr>
          <w:rStyle w:val="FootnoteCharacters"/>
          <w:rStyle w:val="FootnoteReference"/>
          <w:vertAlign w:val="superscript"/>
        </w:rPr>
        <w:footnoteReference w:id="5"/>
      </w:r>
    </w:p>
    <w:p>
      <w:pPr>
        <w:pStyle w:val="Normal"/>
        <w:widowControl/>
        <w:spacing w:lineRule="auto" w:line="480"/>
        <w:ind w:firstLine="1440" w:end="0"/>
        <w:jc w:val="both"/>
        <w:rPr/>
      </w:pPr>
      <w:r>
        <w:rPr>
          <w:b/>
          <w:i/>
        </w:rPr>
        <w:t>1.</w:t>
        <w:tab/>
        <w:t xml:space="preserve">The State Authored Its Financial Crisis </w:t>
      </w:r>
      <w:r>
        <w:rPr>
          <w:rFonts w:eastAsia="Symbol" w:cs="Symbol" w:ascii="Symbol" w:hAnsi="Symbol"/>
          <w:b/>
          <w:i/>
        </w:rPr>
        <w:sym w:font="Symbol" w:char="f02d"/>
      </w:r>
      <w:r>
        <w:rPr>
          <w:b/>
          <w:i/>
        </w:rPr>
        <w:t xml:space="preserve">  </w:t>
      </w:r>
      <w:r>
        <w:rPr/>
        <w:t xml:space="preserve">California's financial crisis was created and exacerbated by a series of blunders and a pusilanimous political leadership unwilling to confront the root causes of the problem.  Since the severe supply/demand imbalance became apparent in the spring of 2000, rather than addressing the fundamental problems, California decision-makers have resorted to scapegoating the Commission and demonizing "out of state generators" and other suppliers.  This blame-game approach has cost California billions of dollars.  Suppliers to California’s centrally administered markets were not the cause of these losses; those suppliers, in fact, are owed billions of dollars for electricity that they have delivered into California.  Suppliers should not and cannot be held responsible.  </w:t>
      </w:r>
    </w:p>
    <w:p>
      <w:pPr>
        <w:pStyle w:val="Normal"/>
        <w:widowControl/>
        <w:spacing w:lineRule="auto" w:line="480"/>
        <w:ind w:firstLine="720" w:end="0"/>
        <w:jc w:val="both"/>
        <w:rPr/>
      </w:pPr>
      <w:r>
        <w:rPr/>
        <w:t>The supply-demand imbalance itself was caused by numerous state policies that discouraged investment in new generation and transmission infrastructure.  For over ten years no significant amount of new generating capacity was permitted and constructed in the state.  The administered market structure chosen by California embraced highly centralized spot markets for power procurement and rejected the diversity and risk management of forward bilateral contracting.  For instance, the California Public Utilities Commission ("CPUC") refused to approve San Diego Gas &amp; Electric Company's ("SDG&amp;E") long-term contracts at prices between $45 to $55 per megawatt hour ("MWh") that suppliers, such as Enron offered in early 2000.  This forced SDG&amp;E to secure the equivalent amounts of power on the spot market for prices in the range of $300 per MWh, costing San Diego area consumers many billions of dollars.  The CPUC made this enormous blunder even after this Commission and others had warned the state that it must end its dangerous dependence on spot markets.</w:t>
      </w:r>
      <w:r>
        <w:rPr>
          <w:rStyle w:val="FootnoteCharacters"/>
          <w:rStyle w:val="FootnoteReference"/>
          <w:vertAlign w:val="superscript"/>
        </w:rPr>
        <w:footnoteReference w:id="6"/>
      </w:r>
      <w:r>
        <w:rPr/>
        <w:t xml:space="preserve">  </w:t>
      </w:r>
    </w:p>
    <w:p>
      <w:pPr>
        <w:pStyle w:val="Normal"/>
        <w:widowControl/>
        <w:spacing w:lineRule="auto" w:line="480"/>
        <w:ind w:firstLine="720" w:end="0"/>
        <w:jc w:val="both"/>
        <w:rPr/>
      </w:pPr>
      <w:r>
        <w:rPr/>
        <w:t>The act of political cowardice that, more than any other cause, transformed the power supply shortage into a financial crisis was the Governor’s and CPUC’s refusal to increase retail rates so that they would recover wholesale power prices and moderate demand. Except for limited load management programs, demand has remained undisciplined by price throughout the crisis.  Only after liabilities soared into the tens of billion of dollars did California's regulators (over Governor Davis’ self-serving protests) finally get around in June 2001 to reducing (but not eliminating) the disparity between wholesale prices and retail rates.</w:t>
      </w:r>
      <w:r>
        <w:rPr>
          <w:rStyle w:val="FootnoteCharacters"/>
          <w:rStyle w:val="FootnoteReference"/>
          <w:vertAlign w:val="superscript"/>
        </w:rPr>
        <w:footnoteReference w:id="7"/>
      </w:r>
      <w:r>
        <w:rPr/>
        <w:t xml:space="preserve">  </w:t>
      </w:r>
    </w:p>
    <w:p>
      <w:pPr>
        <w:pStyle w:val="Normal"/>
        <w:widowControl/>
        <w:spacing w:lineRule="auto" w:line="480"/>
        <w:ind w:firstLine="720" w:end="0"/>
        <w:jc w:val="both"/>
        <w:rPr/>
      </w:pPr>
      <w:r>
        <w:rPr/>
        <w:t xml:space="preserve">To summarize, Enron asks the Commission to recognize that it was shortsightedness and craven political posturing that transformed the state's power supply shortage into the state's ongoing financial hemorrhaging.  Any award of offsets/refunds should reflect this. </w:t>
      </w:r>
    </w:p>
    <w:p>
      <w:pPr>
        <w:pStyle w:val="Normal"/>
        <w:widowControl/>
        <w:numPr>
          <w:ilvl w:val="0"/>
          <w:numId w:val="4"/>
        </w:numPr>
        <w:tabs>
          <w:tab w:val="clear" w:pos="720"/>
        </w:tabs>
        <w:spacing w:lineRule="auto" w:line="480"/>
        <w:ind w:firstLine="1440" w:start="0" w:end="0"/>
        <w:jc w:val="both"/>
        <w:rPr/>
      </w:pPr>
      <w:r>
        <w:rPr>
          <w:b/>
          <w:i/>
        </w:rPr>
        <w:t xml:space="preserve">Defiance of the Commission's Lawful Orders Has Significantly Contributed to California's Financial Debacle </w:t>
      </w:r>
      <w:r>
        <w:rPr>
          <w:rFonts w:eastAsia="Symbol" w:cs="Symbol" w:ascii="Symbol" w:hAnsi="Symbol"/>
          <w:b/>
          <w:i/>
        </w:rPr>
        <w:sym w:font="Symbol" w:char="f02d"/>
      </w:r>
      <w:r>
        <w:rPr>
          <w:b/>
          <w:i/>
        </w:rPr>
        <w:t xml:space="preserve"> </w:t>
      </w:r>
      <w:r>
        <w:rPr/>
        <w:t xml:space="preserve">In a series of orders, the Commission (with Enron’s and other suppliers’ encouragement) found structural problems inherent in the California Independent System Operator (“CAISO”) and Power Exchange (“CalPX”) centrally administered markets and ordered changes aimed at alleviating the growing financial crisis and encouraging greater participation in the California market.  Because they remain controlled by the Governor and are unable to act independently, CAISO (as well as the now defunct CalPX) scoffed at the Commission and refused to comply with most of the Commission’s directives.  This defiance has worsened both the power supply and financial crisis. </w:t>
      </w:r>
    </w:p>
    <w:p>
      <w:pPr>
        <w:pStyle w:val="Normal"/>
        <w:widowControl/>
        <w:spacing w:lineRule="auto" w:line="480"/>
        <w:ind w:firstLine="720" w:end="0"/>
        <w:jc w:val="both"/>
        <w:rPr/>
      </w:pPr>
      <w:r>
        <w:rPr/>
        <w:t xml:space="preserve">For example, the CAISO has refused to implement reforms, including the Commission's monitoring and mitigation plan for the real-time market, set forth in the Commission's April 26, 2001, order.  </w:t>
      </w:r>
      <w:r>
        <w:rPr>
          <w:i/>
          <w:lang w:eastAsia="en-US"/>
        </w:rPr>
        <w:t>San Diego Gas &amp; Electric Co. v. Sellers of Energy and Ancillary Service into Markets Operated by the California Independent System Operator and the California Power Exchange</w:t>
      </w:r>
      <w:r>
        <w:rPr>
          <w:lang w:eastAsia="en-US"/>
        </w:rPr>
        <w:t>,</w:t>
      </w:r>
      <w:r>
        <w:rPr>
          <w:i/>
          <w:lang w:eastAsia="en-US"/>
        </w:rPr>
        <w:t xml:space="preserve"> </w:t>
      </w:r>
      <w:r>
        <w:rPr/>
        <w:t>95 F.E.R.C. ¶ 61,115 at 61,354 (2001)("April 26 Order").  In addition, earlier this year, the CalPX invoked the so-called chargeback form of self-insurance to bill non-defaulting suppliers for the defaults of Pacific Gas and Electric Company (“PG&amp;E”) and Southern California Edison Company ("SCE") in proportion to the non-defaulting suppliers' sales into the CalPX, causing many sellers to exit the CalPX market altogether in order to reduce their exposure to chargebacks.</w:t>
      </w:r>
    </w:p>
    <w:p>
      <w:pPr>
        <w:pStyle w:val="Normal"/>
        <w:widowControl/>
        <w:spacing w:lineRule="auto" w:line="480"/>
        <w:ind w:firstLine="720" w:end="0"/>
        <w:jc w:val="both"/>
        <w:rPr/>
      </w:pPr>
      <w:r>
        <w:rPr/>
        <w:t xml:space="preserve">The CAISO (and the CalPX when it existed) additionally have failed to enforce other provisions of their respective tariffs that could have lessened their losses.  For example, earlier this year, the CAISO and the CalPX refused to enforce creditworthiness provisions and allowed California's defaulting utilities to continue to participate in their markets, even when those utilities' credit ratings had fallen far below the minimum approved credit standards in their tariffs.  This tariff violation led to massive defaults in the CAISO and CalPX, which turned sellers away from those markets.  The CAISO has further refused to follow its tariff by adamantly refusing to enforce the underscheduling penalty against PG&amp;E and SCE, whose schedules have been out of balance for several months, creating hundreds of millions of dollars in penalties that remain uncollected. </w:t>
      </w:r>
    </w:p>
    <w:p>
      <w:pPr>
        <w:pStyle w:val="Normal"/>
        <w:widowControl/>
        <w:spacing w:lineRule="auto" w:line="480"/>
        <w:ind w:firstLine="720" w:end="0"/>
        <w:jc w:val="both"/>
        <w:rPr/>
      </w:pPr>
      <w:r>
        <w:rPr/>
        <w:t xml:space="preserve">Finally, the Governor's action to seat five members of the ISO governing board rather than the independent governing board contemplated by the Commission's December 15 Order, </w:t>
      </w:r>
      <w:r>
        <w:rPr>
          <w:i/>
        </w:rPr>
        <w:t>see</w:t>
      </w:r>
      <w:r>
        <w:rPr/>
        <w:t xml:space="preserve"> </w:t>
      </w:r>
      <w:r>
        <w:rPr>
          <w:i/>
          <w:lang w:eastAsia="en-US"/>
        </w:rPr>
        <w:t>San Diego Gas &amp; Electric Co. v. Sellers of Energy and Ancillary Service into Markets Operated by the California Independent System Operator and the California Power Exchange</w:t>
      </w:r>
      <w:r>
        <w:rPr>
          <w:lang w:eastAsia="en-US"/>
        </w:rPr>
        <w:t>,</w:t>
      </w:r>
      <w:r>
        <w:rPr/>
        <w:t xml:space="preserve"> 93 F.E.R.C. ¶ 61,294 at 61,983 (2000)("December 15 Order"), has entrenched a biased system operator intent on serving the political interests of Governor Davis rather than supporting the needs of a competitive power industry. </w:t>
      </w:r>
    </w:p>
    <w:p>
      <w:pPr>
        <w:pStyle w:val="BodyTextIndent2"/>
        <w:rPr>
          <w:b/>
          <w:i/>
          <w:i/>
        </w:rPr>
      </w:pPr>
      <w:r>
        <w:rPr/>
        <w:t xml:space="preserve">Unless and until the Commission enforces its earlier orders to find a fair and impartial Board of Directors, enforce the underscheduling penalty, establish a market-monitoring plan for the real-time market, and implement other necessary market reforms, there can be no lasting resolution of the problems that beset the California power industry. </w:t>
      </w:r>
    </w:p>
    <w:p>
      <w:pPr>
        <w:pStyle w:val="BodyTextIndent2"/>
        <w:ind w:firstLine="1440" w:end="0"/>
        <w:rPr/>
      </w:pPr>
      <w:r>
        <w:rPr>
          <w:b/>
          <w:i/>
        </w:rPr>
        <w:t>3.</w:t>
        <w:tab/>
        <w:t xml:space="preserve">California's Failure to Pursue Real Solutions Is Exporting Its Crisis to Its Neighbors </w:t>
      </w:r>
      <w:r>
        <w:rPr>
          <w:rFonts w:eastAsia="Symbol" w:cs="Symbol" w:ascii="Symbol" w:hAnsi="Symbol"/>
          <w:b/>
          <w:i/>
        </w:rPr>
        <w:sym w:font="Symbol" w:char="f02d"/>
      </w:r>
      <w:r>
        <w:rPr>
          <w:b/>
          <w:i/>
        </w:rPr>
        <w:t xml:space="preserve"> </w:t>
      </w:r>
      <w:r>
        <w:rPr/>
        <w:t xml:space="preserve">California's open defiance of this Commission's order is not only exacerbating its own crisis but also causing it to spread to other states.  Supply emergencies have now spread to Nevada.  More ominous is the threat posed to the Pacific Northwest.  California's defiance of the Commission's order has forced it to seek one price control after another.  These market interventions most recently produced the June 19 price cap imposed not only on California, but the entire Western System Coordinating Council.  This multi-state price cap is pegged, during periods of reserve deficiency, to the operating cost of the least efficient gas turbine running </w:t>
      </w:r>
      <w:r>
        <w:rPr>
          <w:i/>
        </w:rPr>
        <w:t>in California</w:t>
      </w:r>
      <w:r>
        <w:rPr/>
        <w:t xml:space="preserve">, and during other periods, to a percentage of the most recent price cap during a reserve deficiency period.  Because the Pacific Northwest experiences its peak demand during the winter, this means that a relatively low price cap set during the autumn shoulder demand season </w:t>
      </w:r>
      <w:r>
        <w:rPr>
          <w:i/>
        </w:rPr>
        <w:t>in California</w:t>
      </w:r>
      <w:r>
        <w:rPr/>
        <w:t xml:space="preserve"> will determine what will be the price ceilings during the winter peak demand period in the Pacific Northwest.  These capped prices are certain to be lower than the market value for wholesale power and risk diverting power out of the Pacific Northwest market.</w:t>
        <w:tab/>
      </w:r>
    </w:p>
    <w:p>
      <w:pPr>
        <w:pStyle w:val="BodyTextIndent"/>
        <w:numPr>
          <w:ilvl w:val="0"/>
          <w:numId w:val="3"/>
        </w:numPr>
        <w:ind w:hanging="720" w:start="1440" w:end="0"/>
        <w:rPr/>
      </w:pPr>
      <w:r>
        <w:rPr/>
        <w:t>Any Refund Amount Ordered Must Based on the Law and the Facts, Not "What If" Scenarios</w:t>
      </w:r>
    </w:p>
    <w:p>
      <w:pPr>
        <w:pStyle w:val="Normal"/>
        <w:widowControl/>
        <w:tabs>
          <w:tab w:val="clear" w:pos="720"/>
          <w:tab w:val="left" w:pos="-1440" w:leader="none"/>
        </w:tabs>
        <w:ind w:start="720" w:end="0"/>
        <w:jc w:val="both"/>
        <w:rPr>
          <w:sz w:val="26"/>
        </w:rPr>
      </w:pPr>
      <w:r>
        <w:rPr>
          <w:sz w:val="26"/>
        </w:rPr>
      </w:r>
    </w:p>
    <w:p>
      <w:pPr>
        <w:pStyle w:val="Normal"/>
        <w:widowControl/>
        <w:spacing w:lineRule="auto" w:line="480"/>
        <w:ind w:firstLine="1350" w:start="90" w:end="0"/>
        <w:jc w:val="both"/>
        <w:rPr/>
      </w:pPr>
      <w:r>
        <w:rPr>
          <w:b/>
          <w:i/>
        </w:rPr>
        <w:t>1.</w:t>
        <w:tab/>
        <w:t xml:space="preserve">Only Post-October 2, 2000, Sales into CalPX and CAISO Are Subject to refund </w:t>
      </w:r>
      <w:r>
        <w:rPr>
          <w:rFonts w:eastAsia="Symbol" w:cs="Symbol" w:ascii="Symbol" w:hAnsi="Symbol"/>
          <w:b/>
          <w:i/>
        </w:rPr>
        <w:sym w:font="Symbol" w:char="f02d"/>
      </w:r>
      <w:r>
        <w:rPr>
          <w:b/>
          <w:i/>
        </w:rPr>
        <w:t xml:space="preserve"> </w:t>
      </w:r>
      <w:r>
        <w:rPr/>
        <w:t xml:space="preserve">Much of California's refund claim is for wholesale purchases that the California parties made before October 2, 2000.  Refunds cannot legally be required for those purchases, and California’s refund claim must be reduced by the amount of such claims.  </w:t>
      </w:r>
    </w:p>
    <w:p>
      <w:pPr>
        <w:pStyle w:val="Normal"/>
        <w:widowControl/>
        <w:spacing w:lineRule="auto" w:line="480"/>
        <w:ind w:firstLine="720" w:end="0"/>
        <w:jc w:val="both"/>
        <w:rPr/>
      </w:pPr>
      <w:r>
        <w:rPr/>
        <w:t xml:space="preserve">Rates collected for wholesale sales under a filed tariff or rate schedule cannot be changed or ordered refunded for sales occurring before a “refund effective date.”  A “refund effective date” is established by the filing of a complaint or by the Commission instituting an investigation on its own motion into the charges authorized by a tariff or rate schedule.  16 U.S.C. </w:t>
      </w:r>
      <w:r>
        <w:rPr>
          <w:rFonts w:cs="WP TypographicSymbols" w:ascii="WP TypographicSymbols" w:hAnsi="WP TypographicSymbols"/>
        </w:rPr>
        <w:t>'</w:t>
      </w:r>
      <w:r>
        <w:rPr/>
        <w:t>824e(b) (1994).  In this proceeding, the earliest “refund effective date” available to California is October 2, 2000, which is the 60</w:t>
      </w:r>
      <w:r>
        <w:rPr>
          <w:vertAlign w:val="superscript"/>
        </w:rPr>
        <w:t>th</w:t>
      </w:r>
      <w:r>
        <w:rPr/>
        <w:t xml:space="preserve"> day after SDG&amp;E filed its complaint in Docket No. EL00-95-000 on August 3, 2000.  </w:t>
      </w:r>
      <w:r>
        <w:rPr>
          <w:i/>
        </w:rPr>
        <w:t>San Diego Gas &amp; Electric Co. v. Sellers of Energy and Ancillary Services Into Markets Operated by the California Independent System Operator Corporation and the California Power Exchange</w:t>
      </w:r>
      <w:r>
        <w:rPr/>
        <w:t xml:space="preserve">, 92 F.E.R.C. </w:t>
      </w:r>
      <w:r>
        <w:rPr>
          <w:rFonts w:cs="WP TypographicSymbols" w:ascii="WP TypographicSymbols" w:hAnsi="WP TypographicSymbols"/>
        </w:rPr>
        <w:t>&amp;</w:t>
      </w:r>
      <w:r>
        <w:rPr/>
        <w:t xml:space="preserve"> 61,172 at 61,608 (2000).  The Commission is statutorily constrained from ordering refunds for any wholesale sales occurring before the refund effective date:  “At the conclusion of any proceeding under this section, the Commission may order the public utility to make refunds of any amounts paid, for the period </w:t>
      </w:r>
      <w:r>
        <w:rPr>
          <w:i/>
        </w:rPr>
        <w:t>subsequent to the refund effective date</w:t>
      </w:r>
      <w:r>
        <w:rPr/>
        <w:t xml:space="preserve"> . . . . ”  16  U.S.C. </w:t>
      </w:r>
      <w:r>
        <w:rPr>
          <w:rFonts w:cs="WP TypographicSymbols" w:ascii="WP TypographicSymbols" w:hAnsi="WP TypographicSymbols"/>
        </w:rPr>
        <w:t>'</w:t>
      </w:r>
      <w:r>
        <w:rPr/>
        <w:t>824e(b)(emphasis added).  Any claim by any claimant for refunds on sales occurring before October 2, 2000, therefore, are barred.</w:t>
      </w:r>
    </w:p>
    <w:p>
      <w:pPr>
        <w:pStyle w:val="Normal"/>
        <w:widowControl/>
        <w:spacing w:lineRule="auto" w:line="480"/>
        <w:ind w:firstLine="720" w:end="0"/>
        <w:jc w:val="both"/>
        <w:rPr/>
      </w:pPr>
      <w:r>
        <w:rPr/>
        <w:t>In addition, California’s refund claim seeks a refund of amounts owed in bilateral transactions that did not take place through the state's two centrally administered markets, the CAISO or the CalPX.  For example, the state seeks refunds for bilateral sales involving California delivered products or deals in other Western power markets, which have not been found to be unjust or unreasonable and are thus not subject to refund.  Refund claims in connection with all such transactions have no legal basis and should be rejected.  This exclusion should apply to all transactions of the California Department of Water Resources (“CDWR”) that were not made through the CAISO.  In addition, all CAISO Out-of-Market ("OOM") transactions should not be subject to refund.  OOM transactions are bilateral deals between the CAISO staff and a market participant, not the result of a bid in the centralized markets.  Even the CAISO calls OOM purchases "market deals with Generators."  As importantly, most of the OOM transactions were the result of two California mistakes.  First, the OOM transactions entered into last year were the result of the California utilities' underscheduling of their load.  Rather than buy power in the day-ahead market, the California utilities simply under-reported their full load amount to the CAISO.  This left the CAISO to buy up to 10,000 MW of power in real-time.  This procurement was undertaken presumably to lower the utilities total procurement bill, but instead led to an over-dependence on the real-time markets, subjecting the utilities to high levels of price volatility and reliability risks.</w:t>
      </w:r>
      <w:r>
        <w:rPr>
          <w:rStyle w:val="FootnoteCharacters"/>
          <w:rStyle w:val="FootnoteReference"/>
          <w:vertAlign w:val="superscript"/>
        </w:rPr>
        <w:footnoteReference w:id="8"/>
      </w:r>
      <w:r>
        <w:rPr/>
        <w:t xml:space="preserve"> In its December 15 Order, the Commission ordered the utilities to stop underscheduling and that the CAISO impose a penalty for any underscheduling exceeding five percent of the utility's load, but the CAISO has not done so.  Second, the OOM transactions entered into this year continue to be related primarily to CDWR's argument with the California utilities over who has the ultimate responsibility for the "net short."</w:t>
      </w:r>
      <w:r>
        <w:rPr>
          <w:rStyle w:val="FootnoteCharacters"/>
          <w:rStyle w:val="FootnoteReference"/>
          <w:vertAlign w:val="superscript"/>
        </w:rPr>
        <w:footnoteReference w:id="9"/>
      </w:r>
      <w:r>
        <w:rPr/>
        <w:t xml:space="preserve">  California was fully aware of these problems.  Now, instead of taking responsibility, they simply demand that alleged "pirates" and "profiteers" pay for their failures. </w:t>
      </w:r>
    </w:p>
    <w:p>
      <w:pPr>
        <w:pStyle w:val="Normal"/>
        <w:widowControl/>
        <w:numPr>
          <w:ilvl w:val="0"/>
          <w:numId w:val="2"/>
        </w:numPr>
        <w:tabs>
          <w:tab w:val="clear" w:pos="720"/>
        </w:tabs>
        <w:spacing w:lineRule="auto" w:line="480"/>
        <w:ind w:firstLine="1440" w:start="0" w:end="0"/>
        <w:jc w:val="both"/>
        <w:rPr/>
      </w:pPr>
      <w:r>
        <w:rPr>
          <w:b/>
          <w:i/>
        </w:rPr>
        <w:t xml:space="preserve">Facts &amp; not "what if" scenarios must support any financial settlement with California </w:t>
      </w:r>
      <w:r>
        <w:rPr>
          <w:rFonts w:eastAsia="Symbol" w:cs="Symbol" w:ascii="Symbol" w:hAnsi="Symbol"/>
          <w:b/>
          <w:i/>
        </w:rPr>
        <w:sym w:font="Symbol" w:char="f02d"/>
      </w:r>
      <w:r>
        <w:rPr>
          <w:b/>
          <w:i/>
        </w:rPr>
        <w:t xml:space="preserve"> </w:t>
      </w:r>
      <w:r>
        <w:rPr/>
        <w:t>The Commission cannot order that a specific party make refunds without fact-based findings.  This is a very important point.  To assign blame to all suppliers based on some formulaic approach (</w:t>
      </w:r>
      <w:r>
        <w:rPr>
          <w:i/>
        </w:rPr>
        <w:t>e.g.</w:t>
      </w:r>
      <w:r>
        <w:rPr/>
        <w:t>, in proportion to megawatt-hours sold) would be arbitrary and unfair.  Enron was a price-taker in most hours, meaning that we offered to sell into the CAISO or CalPX markets at whatever market-clearing price was calculated.  In addition, a fair analysis would need to examine how a specific market participant offered its product into the distinct markets (</w:t>
      </w:r>
      <w:r>
        <w:rPr>
          <w:i/>
        </w:rPr>
        <w:t>e.g</w:t>
      </w:r>
      <w:r>
        <w:rPr/>
        <w:t>., the ancillary services markets).  In this inquiry, it is not appropriate simply to determine that all megawatt-hours are the "same."  In fact, they are not.  CAISO's own data shows that the margins that suppliers to California’s centrally administered markets earned on different energy products could differ dramatically, with the highest margins being earned on the sale of certain ancillary services.</w:t>
      </w:r>
    </w:p>
    <w:p>
      <w:pPr>
        <w:pStyle w:val="Normal"/>
        <w:widowControl/>
        <w:spacing w:lineRule="auto" w:line="480"/>
        <w:ind w:firstLine="720" w:end="0"/>
        <w:jc w:val="both"/>
        <w:rPr/>
      </w:pPr>
      <w:r>
        <w:rPr/>
        <w:t>California's claimed entitlement to refunds is based on a hypothetical analysis of CAISO employee, Dr. Eric Hildebrandt, for the CAISO Department of Market Analysis ("DMA").  In his analysis, Dr. Hildebrandt attempts to develop "competitive" proxy prices for each hour by imposing certain "what if" assumptions on past periods.  No seller being asked to make refunds on the basis of Dr. Hildebrandt's analysis has been provided a fair opportunity to understand and analyze his model, data, and methodology.  Nevertheless, California continues to parade the results from Dr. Hildebrandt's analysis around as if the results of his "what if" analysis were gospel.  At a minimum, Dr. Hildebrandt's analysis fails to consider California's centrally administered market in the broader context of the western power market. In many hours California must import substantial amounts of power from neighboring western states to supply 100% of its load.  To deal with the hard issues inherent in this import requirement, Dr. Hildebrandt assumes that for all hours a thermal unit inside of the state will be the price-setting unit.  That is not a tenable assumption.  For at least some hours, the CAISO market-clearing price was established by the Western power markets and transmission costs.  Dr. Hildebrandt's contrary assumption lowers his competitive proxy price and inflates his allegation of overcharges subject to refund.</w:t>
      </w:r>
      <w:r>
        <w:rPr>
          <w:rStyle w:val="FootnoteCharacters"/>
          <w:rStyle w:val="FootnoteReference"/>
          <w:vertAlign w:val="superscript"/>
        </w:rPr>
        <w:footnoteReference w:id="10"/>
      </w:r>
      <w:r>
        <w:rPr/>
        <w:t xml:space="preserve">  </w:t>
      </w:r>
    </w:p>
    <w:p>
      <w:pPr>
        <w:pStyle w:val="Normal"/>
        <w:widowControl/>
        <w:spacing w:lineRule="auto" w:line="480"/>
        <w:ind w:firstLine="720" w:end="0"/>
        <w:jc w:val="both"/>
        <w:rPr/>
      </w:pPr>
      <w:r>
        <w:rPr/>
        <w:t>In short, trying to piece together a "competitive" market result based on the operating cost of a specific, marginal generator, as Dr. Hildebrandt proposes, does not provide a reliable proxy for a competitive market.  Instead of following Dr. Hildebrandt down that rabbit warren, the Commission would deploy its resources more wisely in an examination to determine if at any time after October 2, 2000, any party exhibited and abused market power.</w:t>
      </w:r>
      <w:r>
        <w:rPr>
          <w:rStyle w:val="FootnoteCharacters"/>
          <w:rStyle w:val="FootnoteReference"/>
        </w:rPr>
        <w:footnoteReference w:id="11"/>
      </w:r>
      <w:r>
        <w:rPr/>
        <w:t xml:space="preserve">  If the Commission finds such abuse, then the guilty party should be obligated to provide appropriate refunds. Any refund order that does not consider the market realities confronted by different suppliers will simply invite litigation and will not move California forward. </w:t>
      </w:r>
    </w:p>
    <w:p>
      <w:pPr>
        <w:pStyle w:val="Normal"/>
        <w:widowControl/>
        <w:tabs>
          <w:tab w:val="clear" w:pos="720"/>
          <w:tab w:val="left" w:pos="-1440" w:leader="none"/>
        </w:tabs>
        <w:spacing w:lineRule="auto" w:line="480"/>
        <w:ind w:hanging="720" w:start="1440" w:end="0"/>
        <w:jc w:val="both"/>
        <w:rPr>
          <w:b/>
          <w:i/>
          <w:i/>
          <w:sz w:val="26"/>
        </w:rPr>
      </w:pPr>
      <w:r>
        <w:rPr>
          <w:b/>
          <w:i/>
          <w:sz w:val="26"/>
        </w:rPr>
        <w:t>F.</w:t>
        <w:tab/>
        <w:t>Any Refund Order Must Put an End to All Claims</w:t>
      </w:r>
    </w:p>
    <w:p>
      <w:pPr>
        <w:pStyle w:val="Normal"/>
        <w:widowControl/>
        <w:spacing w:lineRule="auto" w:line="480"/>
        <w:ind w:firstLine="720" w:end="0"/>
        <w:jc w:val="both"/>
        <w:rPr/>
      </w:pPr>
      <w:r>
        <w:rPr/>
        <w:t>The Commission's finding in the December 15 order that California’s centrally administered markets have produced unjust and unreasonable prices is the cornerstone of both the refunds claimed in this proceeding and the claims for damages and other forms of compensation that are being sought in many other venues. In connection with any financial resolution that the Commission orders, pursuant to settlement or otherwise, it is imperative that the Commission accompany that resolution with findings that the financial resolution renders just and reasonable all past charges for wholesale sales of power into California’s centrally administered markets. Without this assurance, Enron and the other suppliers have no reason to acquiesce in a financial settlement to resolve California's power crisis</w:t>
      </w:r>
    </w:p>
    <w:p>
      <w:pPr>
        <w:pStyle w:val="Normal"/>
        <w:widowControl/>
        <w:spacing w:lineRule="auto" w:line="480"/>
        <w:ind w:firstLine="720" w:end="0"/>
        <w:jc w:val="both"/>
        <w:rPr/>
      </w:pPr>
      <w:r>
        <w:rPr/>
        <w:t xml:space="preserve">In their public statements during the settlement negotiations, the California parties have repeatedly acknowledged that this Commission alone has exclusive jurisdiction to determine just and reasonable rates for wholesale sales of electric energy.  </w:t>
      </w:r>
      <w:r>
        <w:rPr>
          <w:i/>
        </w:rPr>
        <w:t>See</w:t>
      </w:r>
      <w:r>
        <w:rPr/>
        <w:t xml:space="preserve"> R. 7, 8, 81 (Jul. 8, 2001)(public transcript).  Because of the finding in the December 15 Order, however, there are now plaintiffs lawyers in numerous civil suits and state authorities in numerous investigations seeking to change the prices that were charged in the past for wholesale sales of power into California. Enron agrees with the California parties that this Commission alone has this authority.  If the Commission decides to reset past prices through refunds in this proceeding, it must also accept its responsibility to accompany that decision with a clear statement that the Commission alone regulates wholesale prices; that it has done so for all sales into California; and that all of the prices that it has authorized are just and reasonable.  If the Commission does anything less, then it will be losing a singular opportunity to put to rest all of the calamity and recriminations that have ensued from California's ill-fated plan to restructure its power industry and this Commission's approval of that plan.</w:t>
      </w:r>
    </w:p>
    <w:p>
      <w:pPr>
        <w:pStyle w:val="Normal"/>
        <w:widowControl/>
        <w:tabs>
          <w:tab w:val="clear" w:pos="720"/>
          <w:tab w:val="left" w:pos="-1440" w:leader="none"/>
        </w:tabs>
        <w:ind w:hanging="720" w:start="1440" w:end="0"/>
        <w:jc w:val="both"/>
        <w:rPr>
          <w:b/>
          <w:i/>
          <w:i/>
          <w:sz w:val="26"/>
        </w:rPr>
      </w:pPr>
      <w:r>
        <w:rPr>
          <w:b/>
          <w:i/>
          <w:sz w:val="26"/>
        </w:rPr>
        <w:t>G.</w:t>
        <w:tab/>
        <w:t>Any Settlement Must Ensure that Suppliers to California Get Paid</w:t>
      </w:r>
    </w:p>
    <w:p>
      <w:pPr>
        <w:pStyle w:val="Normal"/>
        <w:widowControl/>
        <w:jc w:val="both"/>
        <w:rPr/>
      </w:pPr>
      <w:r>
        <w:rPr/>
      </w:r>
    </w:p>
    <w:p>
      <w:pPr>
        <w:pStyle w:val="Normal"/>
        <w:widowControl/>
        <w:spacing w:lineRule="auto" w:line="480"/>
        <w:ind w:firstLine="720" w:end="0"/>
        <w:jc w:val="both"/>
        <w:rPr/>
      </w:pPr>
      <w:r>
        <w:rPr/>
        <w:t>While owing Suppliers multiple billions of dollars, California claims, based on a hypothetical analysis, that it is owed $8.9 billion in refunds.  If there is to be a financial settlement of California’s claims, there must be a concurrent accounting for and settlement of California's debts to Enron and the others who have supplied it with electricity.  Any account receivable held against any California utility by parties to this Settlement must be included in the resolution.</w:t>
      </w:r>
      <w:r>
        <w:rPr>
          <w:rStyle w:val="FootnoteCharacters"/>
          <w:rStyle w:val="FootnoteReference"/>
          <w:vertAlign w:val="superscript"/>
        </w:rPr>
        <w:footnoteReference w:id="12"/>
      </w:r>
      <w:r>
        <w:rPr/>
        <w:t xml:space="preserve">  In addition, if refunds are to be ordered, then all buyers from the CAISO and CalPX markets (which includes Enron and some other suppliers) must receive their rightful share of the ordered refunds.  California assumes that it is the sole buyer, but that is far from the truth.  Enron has been a net buyer to fulfill its obligations as an ESP.  Enron is entitled to refunds under any refund order, including the CAISO's methodology.</w:t>
      </w:r>
    </w:p>
    <w:p>
      <w:pPr>
        <w:pStyle w:val="Normal"/>
        <w:widowControl/>
        <w:jc w:val="both"/>
        <w:rPr/>
      </w:pPr>
      <w:r>
        <w:rPr/>
      </w:r>
    </w:p>
    <w:p>
      <w:pPr>
        <w:pStyle w:val="Normal"/>
        <w:widowControl/>
        <w:tabs>
          <w:tab w:val="clear" w:pos="720"/>
          <w:tab w:val="center" w:pos="4680" w:leader="none"/>
        </w:tabs>
        <w:jc w:val="both"/>
        <w:rPr/>
      </w:pPr>
      <w:r>
        <w:rPr/>
        <w:tab/>
      </w:r>
      <w:r>
        <w:rPr>
          <w:b/>
          <w:sz w:val="28"/>
          <w:u w:val="single"/>
        </w:rPr>
        <w:t>CONCLUSION</w:t>
      </w:r>
    </w:p>
    <w:p>
      <w:pPr>
        <w:pStyle w:val="Normal"/>
        <w:widowControl/>
        <w:jc w:val="both"/>
        <w:rPr/>
      </w:pPr>
      <w:r>
        <w:rPr/>
      </w:r>
    </w:p>
    <w:p>
      <w:pPr>
        <w:pStyle w:val="Normal"/>
        <w:widowControl/>
        <w:spacing w:lineRule="auto" w:line="480"/>
        <w:ind w:firstLine="720" w:end="0"/>
        <w:jc w:val="both"/>
        <w:rPr/>
      </w:pPr>
      <w:r>
        <w:rPr/>
        <w:t xml:space="preserve">Enron asks the Commission to take into account the foregoing considerations when evaluating the Recommendation.  In particular, Enron asks the Commission to weigh the California parties' claims that they are entitled to refunds for past power sales against the facts that:  (1) California's distress was caused by the decisions of its political leaders and not by power suppliers; (2) California's plight has been exacerbated by its defiance of this Commission's orders; (3) California's estimates of overcharges are based on unsubstantiated theories and assumption that understate proxy competitive prices and inflate alleged refund liability.  If, after this weighing, the </w:t>
      </w:r>
      <w:r>
        <w:br w:type="page"/>
      </w:r>
    </w:p>
    <w:p>
      <w:pPr>
        <w:pStyle w:val="Normal"/>
        <w:widowControl/>
        <w:spacing w:lineRule="auto" w:line="480"/>
        <w:jc w:val="both"/>
        <w:rPr/>
      </w:pPr>
      <w:r>
        <w:rPr/>
        <w:t>Commission determines that some financial settlement is in order, Enron asks the Commission to resolve all outstanding issues and claims pertaining to the lawfulness of the prices that Enron and other suppliers charged for wholesale sales of power into California’s centrally administered markets.</w:t>
      </w:r>
    </w:p>
    <w:p>
      <w:pPr>
        <w:pStyle w:val="Normal"/>
        <w:widowControl/>
        <w:spacing w:lineRule="auto" w:line="480"/>
        <w:ind w:firstLine="720" w:end="0"/>
        <w:jc w:val="both"/>
        <w:rPr/>
      </w:pPr>
      <w:r>
        <w:rPr/>
        <w:tab/>
        <w:tab/>
        <w:tab/>
        <w:tab/>
        <w:tab/>
        <w:t>Respectfully Submitted,</w:t>
      </w:r>
    </w:p>
    <w:p>
      <w:pPr>
        <w:pStyle w:val="Normal"/>
        <w:widowControl/>
        <w:spacing w:lineRule="auto" w:line="480"/>
        <w:jc w:val="both"/>
        <w:rPr/>
      </w:pPr>
      <w:r>
        <w:rPr/>
      </w:r>
    </w:p>
    <w:p>
      <w:pPr>
        <w:pStyle w:val="Normal"/>
        <w:widowControl/>
        <w:ind w:firstLine="4320" w:end="0"/>
        <w:jc w:val="both"/>
        <w:rPr/>
      </w:pPr>
      <w:r>
        <w:rPr/>
        <w:t>_________________</w:t>
      </w:r>
    </w:p>
    <w:p>
      <w:pPr>
        <w:pStyle w:val="Normal"/>
        <w:widowControl/>
        <w:ind w:firstLine="4320" w:end="0"/>
        <w:jc w:val="both"/>
        <w:rPr/>
      </w:pPr>
      <w:r>
        <w:rPr/>
        <w:t>Jeffrey D. Watkiss</w:t>
      </w:r>
    </w:p>
    <w:p>
      <w:pPr>
        <w:pStyle w:val="Normal"/>
        <w:widowControl/>
        <w:ind w:firstLine="4320" w:end="0"/>
        <w:jc w:val="both"/>
        <w:rPr/>
      </w:pPr>
      <w:r>
        <w:rPr/>
        <w:t>Bracewell &amp; Patterson, L.L.P.</w:t>
      </w:r>
    </w:p>
    <w:p>
      <w:pPr>
        <w:pStyle w:val="Normal"/>
        <w:widowControl/>
        <w:ind w:firstLine="4320" w:end="0"/>
        <w:jc w:val="both"/>
        <w:rPr/>
      </w:pPr>
      <w:r>
        <w:rPr/>
        <w:t>2000 K Street, N.W.</w:t>
      </w:r>
    </w:p>
    <w:p>
      <w:pPr>
        <w:pStyle w:val="Normal"/>
        <w:widowControl/>
        <w:ind w:firstLine="4320" w:end="0"/>
        <w:jc w:val="both"/>
        <w:rPr/>
      </w:pPr>
      <w:r>
        <w:rPr/>
        <w:t>Suite 500</w:t>
      </w:r>
    </w:p>
    <w:p>
      <w:pPr>
        <w:pStyle w:val="Normal"/>
        <w:widowControl/>
        <w:ind w:firstLine="4320" w:end="0"/>
        <w:jc w:val="both"/>
        <w:rPr/>
      </w:pPr>
      <w:r>
        <w:rPr/>
        <w:t>Washington, DC   20006-1872</w:t>
      </w:r>
    </w:p>
    <w:p>
      <w:pPr>
        <w:pStyle w:val="Normal"/>
        <w:widowControl/>
        <w:ind w:firstLine="4320" w:end="0"/>
        <w:jc w:val="both"/>
        <w:rPr/>
      </w:pPr>
      <w:r>
        <w:rPr/>
        <w:t>(202) 828-5800</w:t>
      </w:r>
    </w:p>
    <w:p>
      <w:pPr>
        <w:pStyle w:val="Normal"/>
        <w:widowControl/>
        <w:jc w:val="both"/>
        <w:rPr/>
      </w:pPr>
      <w:r>
        <w:rPr/>
      </w:r>
    </w:p>
    <w:p>
      <w:pPr>
        <w:pStyle w:val="Normal"/>
        <w:widowControl/>
        <w:ind w:start="4320" w:end="0"/>
        <w:jc w:val="both"/>
        <w:rPr/>
      </w:pPr>
      <w:r>
        <w:rPr/>
        <w:t>Attorney for Enron Power Marketing, Inc. and Enron     Energy Services</w:t>
      </w:r>
    </w:p>
    <w:p>
      <w:pPr>
        <w:pStyle w:val="Normal"/>
        <w:widowControl/>
        <w:jc w:val="both"/>
        <w:rPr/>
      </w:pPr>
      <w:r>
        <w:rPr/>
      </w:r>
    </w:p>
    <w:p>
      <w:pPr>
        <w:sectPr>
          <w:headerReference w:type="default" r:id="rId2"/>
          <w:headerReference w:type="first" r:id="rId3"/>
          <w:footnotePr>
            <w:numFmt w:val="decimal"/>
          </w:footnotePr>
          <w:type w:val="nextPage"/>
          <w:pgSz w:w="12240" w:h="15840"/>
          <w:pgMar w:left="1440" w:right="1440" w:gutter="0" w:header="1440" w:top="1496" w:footer="0" w:bottom="1440"/>
          <w:pgNumType w:fmt="decimal"/>
          <w:formProt w:val="false"/>
          <w:titlePg/>
          <w:textDirection w:val="lrTb"/>
          <w:docGrid w:type="default" w:linePitch="360" w:charSpace="0"/>
        </w:sectPr>
        <w:pStyle w:val="Normal"/>
        <w:widowControl/>
        <w:jc w:val="both"/>
        <w:rPr/>
      </w:pPr>
      <w:r>
        <w:rPr/>
        <w:t>July 12, 2001</w:t>
      </w:r>
    </w:p>
    <w:p>
      <w:pPr>
        <w:pStyle w:val="Normal"/>
        <w:widowControl/>
        <w:jc w:val="center"/>
        <w:rPr>
          <w:b/>
          <w:sz w:val="28"/>
        </w:rPr>
      </w:pPr>
      <w:r>
        <w:rPr>
          <w:b/>
          <w:sz w:val="28"/>
        </w:rPr>
        <w:t>UNITED STATES OF AMERICA</w:t>
      </w:r>
    </w:p>
    <w:p>
      <w:pPr>
        <w:pStyle w:val="Normal"/>
        <w:widowControl/>
        <w:jc w:val="center"/>
        <w:rPr>
          <w:b/>
          <w:sz w:val="28"/>
        </w:rPr>
      </w:pPr>
      <w:r>
        <w:rPr>
          <w:b/>
          <w:sz w:val="28"/>
        </w:rPr>
        <w:t>BEFORE THE</w:t>
      </w:r>
    </w:p>
    <w:p>
      <w:pPr>
        <w:pStyle w:val="Normal"/>
        <w:widowControl/>
        <w:jc w:val="center"/>
        <w:rPr>
          <w:sz w:val="28"/>
        </w:rPr>
      </w:pPr>
      <w:r>
        <w:rPr>
          <w:b/>
          <w:sz w:val="28"/>
        </w:rPr>
        <w:t>FEDERAL ENERGY REGULATORY COMMISSION</w:t>
      </w:r>
    </w:p>
    <w:p>
      <w:pPr>
        <w:pStyle w:val="Normal"/>
        <w:widowControl/>
        <w:jc w:val="center"/>
        <w:rPr>
          <w:sz w:val="28"/>
        </w:rPr>
      </w:pPr>
      <w:r>
        <w:rPr>
          <w:sz w:val="28"/>
        </w:rPr>
      </w:r>
    </w:p>
    <w:p>
      <w:pPr>
        <w:pStyle w:val="Normal"/>
        <w:widowControl/>
        <w:jc w:val="both"/>
        <w:rPr/>
      </w:pPr>
      <w:r>
        <w:rPr/>
        <w:t>__________________________________________</w:t>
      </w:r>
    </w:p>
    <w:p>
      <w:pPr>
        <w:pStyle w:val="Normal"/>
        <w:widowControl/>
        <w:ind w:firstLine="5040" w:end="0"/>
        <w:jc w:val="both"/>
        <w:rPr/>
      </w:pPr>
      <w:r>
        <w:rPr/>
        <w:t>)</w:t>
      </w:r>
    </w:p>
    <w:p>
      <w:pPr>
        <w:pStyle w:val="Normal"/>
        <w:widowControl/>
        <w:tabs>
          <w:tab w:val="clear" w:pos="720"/>
          <w:tab w:val="left" w:pos="-1440" w:leader="none"/>
        </w:tabs>
        <w:ind w:hanging="5040" w:start="5040" w:end="0"/>
        <w:jc w:val="both"/>
        <w:rPr/>
      </w:pPr>
      <w:r>
        <w:rPr/>
        <w:t>San Diego Gas &amp; Electric Company,</w:t>
        <w:tab/>
        <w:tab/>
        <w:tab/>
        <w:t>)</w:t>
      </w:r>
    </w:p>
    <w:p>
      <w:pPr>
        <w:pStyle w:val="Normal"/>
        <w:widowControl/>
        <w:ind w:firstLine="5040" w:end="0"/>
        <w:jc w:val="both"/>
        <w:rPr/>
      </w:pPr>
      <w:r>
        <w:rPr/>
        <w:t>)</w:t>
      </w:r>
    </w:p>
    <w:p>
      <w:pPr>
        <w:pStyle w:val="Normal"/>
        <w:widowControl/>
        <w:ind w:firstLine="2880" w:end="0"/>
        <w:jc w:val="both"/>
        <w:rPr/>
      </w:pPr>
      <w:r>
        <w:rPr/>
        <w:t>Complainant</w:t>
        <w:tab/>
        <w:tab/>
        <w:t>)</w:t>
      </w:r>
    </w:p>
    <w:p>
      <w:pPr>
        <w:pStyle w:val="Normal"/>
        <w:widowControl/>
        <w:jc w:val="both"/>
        <w:rPr/>
      </w:pPr>
      <w:r>
        <w:rPr/>
        <w:t xml:space="preserve"> </w:t>
      </w:r>
      <w:r>
        <w:rPr/>
        <w:tab/>
        <w:tab/>
        <w:tab/>
        <w:tab/>
        <w:tab/>
        <w:tab/>
        <w:tab/>
        <w:t>)</w:t>
      </w:r>
    </w:p>
    <w:p>
      <w:pPr>
        <w:pStyle w:val="Normal"/>
        <w:widowControl/>
        <w:ind w:firstLine="5040" w:end="0"/>
        <w:jc w:val="both"/>
        <w:rPr/>
      </w:pPr>
      <w:r>
        <w:rPr/>
        <w:t>)</w:t>
      </w:r>
    </w:p>
    <w:p>
      <w:pPr>
        <w:pStyle w:val="Normal"/>
        <w:widowControl/>
        <w:ind w:firstLine="1440" w:end="0"/>
        <w:jc w:val="both"/>
        <w:rPr/>
      </w:pPr>
      <w:r>
        <w:rPr/>
        <w:t>v.</w:t>
        <w:tab/>
        <w:tab/>
        <w:tab/>
        <w:tab/>
        <w:tab/>
        <w:t>)</w:t>
      </w:r>
    </w:p>
    <w:p>
      <w:pPr>
        <w:pStyle w:val="Normal"/>
        <w:widowControl/>
        <w:ind w:firstLine="5040" w:end="0"/>
        <w:jc w:val="both"/>
        <w:rPr/>
      </w:pPr>
      <w:r>
        <w:rPr/>
        <w:t>)</w:t>
      </w:r>
    </w:p>
    <w:p>
      <w:pPr>
        <w:pStyle w:val="Normal"/>
        <w:widowControl/>
        <w:jc w:val="both"/>
        <w:rPr/>
      </w:pPr>
      <w:r>
        <w:rPr/>
        <w:t>Sellers of Energy and Ancillary Services</w:t>
        <w:tab/>
        <w:tab/>
        <w:t>)</w:t>
        <w:tab/>
        <w:t>Docket No. EL00-95-031</w:t>
      </w:r>
    </w:p>
    <w:p>
      <w:pPr>
        <w:pStyle w:val="Normal"/>
        <w:widowControl/>
        <w:jc w:val="both"/>
        <w:rPr/>
      </w:pPr>
      <w:r>
        <w:rPr/>
        <w:t>into Markets Operated by the California</w:t>
        <w:tab/>
        <w:tab/>
        <w:t>)</w:t>
      </w:r>
    </w:p>
    <w:p>
      <w:pPr>
        <w:pStyle w:val="Normal"/>
        <w:widowControl/>
        <w:jc w:val="both"/>
        <w:rPr/>
      </w:pPr>
      <w:r>
        <w:rPr/>
        <w:t>Independent System Operator and the</w:t>
        <w:tab/>
        <w:tab/>
        <w:t>)</w:t>
      </w:r>
    </w:p>
    <w:p>
      <w:pPr>
        <w:pStyle w:val="Normal"/>
        <w:widowControl/>
        <w:tabs>
          <w:tab w:val="clear" w:pos="720"/>
          <w:tab w:val="left" w:pos="-1440" w:leader="none"/>
        </w:tabs>
        <w:ind w:hanging="5040" w:start="5040" w:end="0"/>
        <w:jc w:val="both"/>
        <w:rPr/>
      </w:pPr>
      <w:r>
        <w:rPr/>
        <w:t>California Power Exchange,</w:t>
        <w:tab/>
        <w:tab/>
        <w:tab/>
        <w:tab/>
        <w:t>)</w:t>
      </w:r>
    </w:p>
    <w:p>
      <w:pPr>
        <w:pStyle w:val="Normal"/>
        <w:widowControl/>
        <w:ind w:firstLine="5040" w:end="0"/>
        <w:jc w:val="both"/>
        <w:rPr/>
      </w:pPr>
      <w:r>
        <w:rPr/>
        <w:t>)</w:t>
      </w:r>
    </w:p>
    <w:p>
      <w:pPr>
        <w:pStyle w:val="Normal"/>
        <w:widowControl/>
        <w:tabs>
          <w:tab w:val="clear" w:pos="720"/>
          <w:tab w:val="left" w:pos="-1440" w:leader="none"/>
        </w:tabs>
        <w:ind w:hanging="2160" w:start="5040" w:end="0"/>
        <w:jc w:val="both"/>
        <w:rPr/>
      </w:pPr>
      <w:r>
        <w:rPr/>
        <w:t xml:space="preserve"> </w:t>
      </w:r>
      <w:r>
        <w:rPr/>
        <w:t>Respondents.</w:t>
        <w:tab/>
        <w:tab/>
        <w:t>)</w:t>
      </w:r>
    </w:p>
    <w:p>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true"/>
        <w:spacing w:lineRule="auto" w:line="240"/>
        <w:rPr/>
      </w:pPr>
      <w:r>
        <w:rPr/>
        <w:t>__________________________________________)</w:t>
      </w:r>
    </w:p>
    <w:p>
      <w:pPr>
        <w:pStyle w:val="Normal"/>
        <w:jc w:val="center"/>
        <w:rPr/>
      </w:pPr>
      <w:r>
        <w:rPr/>
      </w:r>
    </w:p>
    <w:p>
      <w:pPr>
        <w:pStyle w:val="Normal"/>
        <w:jc w:val="center"/>
        <w:rPr>
          <w:b/>
        </w:rPr>
      </w:pPr>
      <w:r>
        <w:rPr>
          <w:b/>
        </w:rPr>
        <w:t>CERTIFICATE OF SERVICE</w:t>
      </w:r>
    </w:p>
    <w:p>
      <w:pPr>
        <w:pStyle w:val="Normal"/>
        <w:rPr/>
      </w:pPr>
      <w:r>
        <w:rPr/>
      </w:r>
    </w:p>
    <w:p>
      <w:pPr>
        <w:pStyle w:val="Normal"/>
        <w:jc w:val="both"/>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jc w:val="center"/>
        <w:rPr/>
      </w:pPr>
      <w:r>
        <w:rPr/>
      </w:r>
    </w:p>
    <w:p>
      <w:pPr>
        <w:pStyle w:val="Normal"/>
        <w:rPr/>
      </w:pPr>
      <w:r>
        <w:rPr/>
        <w:tab/>
        <w:t>Dated at Washington, D.C., this 12</w:t>
      </w:r>
      <w:r>
        <w:rPr>
          <w:vertAlign w:val="superscript"/>
        </w:rPr>
        <w:t>th</w:t>
      </w:r>
      <w:r>
        <w:rPr/>
        <w:t xml:space="preserve"> day of July 2001.</w:t>
      </w:r>
    </w:p>
    <w:p>
      <w:pPr>
        <w:pStyle w:val="Normal"/>
        <w:rPr/>
      </w:pPr>
      <w:r>
        <w:rPr/>
        <w:tab/>
        <w:tab/>
        <w:tab/>
      </w:r>
    </w:p>
    <w:p>
      <w:pPr>
        <w:pStyle w:val="Normal"/>
        <w:rPr/>
      </w:pPr>
      <w:r>
        <w:rPr/>
      </w:r>
    </w:p>
    <w:p>
      <w:pPr>
        <w:pStyle w:val="Normal"/>
        <w:rPr/>
      </w:pPr>
      <w:r>
        <w:rPr/>
        <w:tab/>
        <w:tab/>
        <w:tab/>
        <w:tab/>
        <w:tab/>
        <w:tab/>
        <w:t>__________________________________</w:t>
      </w:r>
    </w:p>
    <w:p>
      <w:pPr>
        <w:pStyle w:val="Normal"/>
        <w:widowControl/>
        <w:jc w:val="both"/>
        <w:rPr/>
      </w:pPr>
      <w:r>
        <w:rPr/>
        <w:tab/>
        <w:tab/>
        <w:tab/>
        <w:tab/>
        <w:tab/>
        <w:tab/>
        <w:t xml:space="preserve">            Jeffrey D. Watkiss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z w:val="20"/>
        </w:rPr>
      </w:pPr>
      <w:r>
        <w:rPr>
          <w:sz w:val="20"/>
        </w:rPr>
        <w:t>#145206</w:t>
      </w:r>
    </w:p>
    <w:sectPr>
      <w:headerReference w:type="default" r:id="rId4"/>
      <w:headerReference w:type="first" r:id="rId5"/>
      <w:footnotePr>
        <w:numFmt w:val="decimal"/>
      </w:footnotePr>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WP TypographicSymbols">
    <w:charset w:val="00" w:characterSet="windows-1252"/>
    <w:family w:val="auto"/>
    <w:pitch w:val="variable"/>
  </w:font>
  <w:font w:name="CG Times">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Enron-owned companies have interests in qualifying facilities (primarily wind facilities) under the Public Utility Regulatory Policies Act of 1978.  These facilities sell virtually all of their output under long-term contracts to California utilities.</w:t>
      </w:r>
    </w:p>
  </w:footnote>
  <w:footnote w:id="3">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Enron Power Marketing, Inc.</w:t>
      </w:r>
      <w:r>
        <w:rPr>
          <w:rFonts w:cs="CG Times;Times New Roman" w:ascii="CG Times;Times New Roman" w:hAnsi="CG Times;Times New Roman"/>
          <w:sz w:val="22"/>
        </w:rPr>
        <w:t xml:space="preserve">, 65 F.E.R.C. </w:t>
      </w:r>
      <w:r>
        <w:rPr>
          <w:rFonts w:cs="WP TypographicSymbols" w:ascii="WP TypographicSymbols" w:hAnsi="WP TypographicSymbols"/>
          <w:sz w:val="22"/>
        </w:rPr>
        <w:t>&amp;</w:t>
      </w:r>
      <w:r>
        <w:rPr>
          <w:rFonts w:cs="CG Times;Times New Roman" w:ascii="CG Times;Times New Roman" w:hAnsi="CG Times;Times New Roman"/>
          <w:sz w:val="22"/>
        </w:rPr>
        <w:t xml:space="preserve"> 61,305 (1993), </w:t>
      </w:r>
      <w:r>
        <w:rPr>
          <w:rFonts w:cs="CG Times;Times New Roman" w:ascii="CG Times;Times New Roman" w:hAnsi="CG Times;Times New Roman"/>
          <w:i/>
          <w:sz w:val="22"/>
        </w:rPr>
        <w:t>order on reh'g</w:t>
      </w:r>
      <w:r>
        <w:rPr>
          <w:rFonts w:cs="CG Times;Times New Roman" w:ascii="CG Times;Times New Roman" w:hAnsi="CG Times;Times New Roman"/>
          <w:sz w:val="22"/>
        </w:rPr>
        <w:t xml:space="preserve">, 66 F.E.R.C. </w:t>
      </w:r>
      <w:r>
        <w:rPr>
          <w:rFonts w:cs="WP TypographicSymbols" w:ascii="WP TypographicSymbols" w:hAnsi="WP TypographicSymbols"/>
          <w:sz w:val="22"/>
        </w:rPr>
        <w:t>&amp;</w:t>
      </w:r>
      <w:r>
        <w:rPr>
          <w:rFonts w:cs="CG Times;Times New Roman" w:ascii="CG Times;Times New Roman" w:hAnsi="CG Times;Times New Roman"/>
          <w:sz w:val="22"/>
        </w:rPr>
        <w:t xml:space="preserve"> 61,244 (1994); </w:t>
      </w:r>
      <w:r>
        <w:rPr>
          <w:rFonts w:cs="CG Times;Times New Roman" w:ascii="CG Times;Times New Roman" w:hAnsi="CG Times;Times New Roman"/>
          <w:i/>
          <w:sz w:val="22"/>
        </w:rPr>
        <w:t>Enron Energy Services Power, Inc.</w:t>
      </w:r>
      <w:r>
        <w:rPr>
          <w:rFonts w:cs="CG Times;Times New Roman" w:ascii="CG Times;Times New Roman" w:hAnsi="CG Times;Times New Roman"/>
          <w:sz w:val="22"/>
        </w:rPr>
        <w:t xml:space="preserve">, 81 F.E.R.C. </w:t>
      </w:r>
      <w:r>
        <w:rPr>
          <w:rFonts w:cs="WP TypographicSymbols" w:ascii="WP TypographicSymbols" w:hAnsi="WP TypographicSymbols"/>
          <w:sz w:val="22"/>
        </w:rPr>
        <w:t>&amp;</w:t>
      </w:r>
      <w:r>
        <w:rPr>
          <w:rFonts w:cs="CG Times;Times New Roman" w:ascii="CG Times;Times New Roman" w:hAnsi="CG Times;Times New Roman"/>
          <w:sz w:val="22"/>
        </w:rPr>
        <w:t xml:space="preserve"> 61,267 (1997). Additionally, the Commission accepted EPMI's subsequent revisions to its Rate Schedule FERC No. 1 to sell ancillary services at market-based rates in California.  </w:t>
      </w:r>
      <w:r>
        <w:rPr>
          <w:rFonts w:cs="CG Times;Times New Roman" w:ascii="CG Times;Times New Roman" w:hAnsi="CG Times;Times New Roman"/>
          <w:i/>
          <w:sz w:val="22"/>
        </w:rPr>
        <w:t>See</w:t>
      </w:r>
      <w:r>
        <w:rPr>
          <w:rFonts w:cs="CG Times;Times New Roman" w:ascii="CG Times;Times New Roman" w:hAnsi="CG Times;Times New Roman"/>
          <w:sz w:val="22"/>
        </w:rPr>
        <w:t xml:space="preserve"> </w:t>
      </w:r>
      <w:r>
        <w:rPr>
          <w:rFonts w:cs="CG Times;Times New Roman" w:ascii="CG Times;Times New Roman" w:hAnsi="CG Times;Times New Roman"/>
          <w:i/>
          <w:sz w:val="22"/>
        </w:rPr>
        <w:t>Enron Power Marketing, Inc.</w:t>
      </w:r>
      <w:r>
        <w:rPr>
          <w:rFonts w:cs="CG Times;Times New Roman" w:ascii="CG Times;Times New Roman" w:hAnsi="CG Times;Times New Roman"/>
          <w:sz w:val="22"/>
        </w:rPr>
        <w:t>, Letter Order, Docket No. ER00-497-000 (issued Dec. 6, 1999).</w:t>
      </w:r>
    </w:p>
  </w:footnote>
  <w:footnote w:id="4">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See</w:t>
      </w:r>
      <w:r>
        <w:rPr>
          <w:rFonts w:cs="CG Times;Times New Roman" w:ascii="CG Times;Times New Roman" w:hAnsi="CG Times;Times New Roman"/>
          <w:sz w:val="22"/>
        </w:rPr>
        <w:t xml:space="preserve"> California Legislature's Assembly Bill 1890 ("AB 1890"), effective Sept. 23, 1996</w:t>
      </w:r>
      <w:r>
        <w:rPr>
          <w:sz w:val="22"/>
        </w:rPr>
        <w:t xml:space="preserve">; </w:t>
      </w:r>
      <w:r>
        <w:rPr>
          <w:rFonts w:cs="CG Times;Times New Roman" w:ascii="CG Times;Times New Roman" w:hAnsi="CG Times;Times New Roman"/>
          <w:i/>
          <w:sz w:val="22"/>
        </w:rPr>
        <w:t>see also San Diego Gas &amp; Electric Co.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 w:ascii="WP TypographicSymbols" w:hAnsi="WP TypographicSymbols"/>
          <w:sz w:val="22"/>
        </w:rPr>
        <w:t>&amp;</w:t>
      </w:r>
      <w:r>
        <w:rPr>
          <w:rFonts w:cs="CG Times;Times New Roman" w:ascii="CG Times;Times New Roman" w:hAnsi="CG Times;Times New Roman"/>
          <w:sz w:val="22"/>
        </w:rPr>
        <w:t xml:space="preserve"> 61,121 at 61,383 (2000) (finding price spikes caused by flawed market structures and an insufficient supply of power, rather than gaming by market participants).  </w:t>
      </w:r>
      <w:r>
        <w:rPr>
          <w:rFonts w:cs="CG Times;Times New Roman" w:ascii="CG Times;Times New Roman" w:hAnsi="CG Times;Times New Roman"/>
          <w:i/>
          <w:sz w:val="22"/>
        </w:rPr>
        <w:t>See also</w:t>
      </w:r>
      <w:r>
        <w:rPr>
          <w:rFonts w:cs="CG Times;Times New Roman" w:ascii="CG Times;Times New Roman" w:hAnsi="CG Times;Times New Roman"/>
          <w:sz w:val="22"/>
        </w:rPr>
        <w:t xml:space="preserve"> </w:t>
      </w:r>
      <w:r>
        <w:rPr>
          <w:rFonts w:cs="CG Times;Times New Roman" w:ascii="CG Times;Times New Roman" w:hAnsi="CG Times;Times New Roman"/>
          <w:i/>
          <w:sz w:val="22"/>
        </w:rPr>
        <w:t>San Diego Gas &amp; Electric Co.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 w:ascii="WP TypographicSymbols" w:hAnsi="WP TypographicSymbols"/>
          <w:sz w:val="22"/>
        </w:rPr>
        <w:t>&amp;</w:t>
      </w:r>
      <w:r>
        <w:rPr>
          <w:rFonts w:cs="CG Times;Times New Roman" w:ascii="CG Times;Times New Roman" w:hAnsi="CG Times;Times New Roman"/>
          <w:sz w:val="22"/>
        </w:rPr>
        <w:t xml:space="preserve"> 61,294 at 61,984 (2000)(concluding that "electric market structure and market rules for wholesale sales of electric energy in California were seriously flawed," and that the "record does not support findings of specific exercises of market power").</w:t>
      </w:r>
    </w:p>
  </w:footnote>
  <w:footnote w:id="5">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 xml:space="preserve">See Pacific Gas and Electric Co., </w:t>
      </w:r>
      <w:r>
        <w:rPr>
          <w:rFonts w:cs="CG Times;Times New Roman" w:ascii="CG Times;Times New Roman" w:hAnsi="CG Times;Times New Roman"/>
          <w:sz w:val="22"/>
        </w:rPr>
        <w:t xml:space="preserve">95 F.E.R.C. </w:t>
      </w:r>
      <w:r>
        <w:rPr>
          <w:rFonts w:cs="WP TypographicSymbols" w:ascii="WP TypographicSymbols" w:hAnsi="WP TypographicSymbols"/>
          <w:sz w:val="22"/>
        </w:rPr>
        <w:t>&amp;</w:t>
      </w:r>
      <w:r>
        <w:rPr>
          <w:rFonts w:cs="CG Times;Times New Roman" w:ascii="CG Times;Times New Roman" w:hAnsi="CG Times;Times New Roman"/>
          <w:sz w:val="22"/>
        </w:rPr>
        <w:t xml:space="preserve"> 61,273,(2001) (stating PG&amp;E filed for Chapter 11 bankruptcy protection on April 6, 2001); </w:t>
      </w:r>
      <w:r>
        <w:rPr>
          <w:i/>
        </w:rPr>
        <w:t xml:space="preserve">see also </w:t>
      </w:r>
      <w:r>
        <w:rPr/>
        <w:t>"</w:t>
      </w:r>
      <w:r>
        <w:rPr>
          <w:i/>
        </w:rPr>
        <w:t>Developments in California's energy crisis</w:t>
      </w:r>
      <w:r>
        <w:rPr/>
        <w:t xml:space="preserve">," The Associated Press State and Local Wire, Jul. 5, 2001, </w:t>
      </w:r>
      <w:r>
        <w:rPr>
          <w:i/>
        </w:rPr>
        <w:t>available in</w:t>
      </w:r>
      <w:r>
        <w:rPr/>
        <w:t xml:space="preserve">  LEXIS, Newsgroup File, Most Recent Two years; "</w:t>
      </w:r>
      <w:r>
        <w:rPr>
          <w:i/>
        </w:rPr>
        <w:t>A Cap on Supply: Davis, FERC Are Ensuring The Crisis Only Gets Worse</w:t>
      </w:r>
      <w:r>
        <w:rPr/>
        <w:t xml:space="preserve">," Investor's Business Daily, Inc., Jun. 25, 2001, </w:t>
      </w:r>
      <w:r>
        <w:rPr>
          <w:i/>
        </w:rPr>
        <w:t xml:space="preserve">available in </w:t>
      </w:r>
      <w:r>
        <w:rPr/>
        <w:t xml:space="preserve"> LEXIS, Newsgroup File, Most Recent Two years; </w:t>
      </w:r>
      <w:r>
        <w:rPr>
          <w:i/>
        </w:rPr>
        <w:t>NYPA Cleared To Finish NYC Turbines Through Earlier Case May Block Two</w:t>
      </w:r>
      <w:r>
        <w:rPr/>
        <w:t xml:space="preserve">," Electric </w:t>
      </w:r>
      <w:r>
        <w:rPr>
          <w:sz w:val="22"/>
        </w:rPr>
        <w:t xml:space="preserve">Utility Weekly, Apr. 30, 2001, </w:t>
      </w:r>
      <w:r>
        <w:rPr>
          <w:i/>
          <w:sz w:val="22"/>
        </w:rPr>
        <w:t>available in</w:t>
      </w:r>
      <w:r>
        <w:rPr>
          <w:sz w:val="22"/>
        </w:rPr>
        <w:t xml:space="preserve"> LEXIS, Newsgroup File, Most Recent Two years.</w:t>
      </w:r>
    </w:p>
  </w:footnote>
  <w:footnote w:id="6">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i/>
          <w:sz w:val="22"/>
        </w:rPr>
        <w:t>See, e.g., San Diego Gas &amp; Electric Co. v. Sellers of Energy and Ancillary Services into Markets Operated by the California, Independent System Operator and the California Power Exchange</w:t>
      </w:r>
      <w:r>
        <w:rPr>
          <w:rFonts w:cs="CG Times;Times New Roman" w:ascii="CG Times;Times New Roman" w:hAnsi="CG Times;Times New Roman"/>
          <w:sz w:val="22"/>
        </w:rPr>
        <w:t xml:space="preserve">, 93 F.E.R.C. </w:t>
      </w:r>
      <w:r>
        <w:rPr>
          <w:rFonts w:cs="WP TypographicSymbols" w:ascii="WP TypographicSymbols" w:hAnsi="WP TypographicSymbols"/>
          <w:sz w:val="22"/>
        </w:rPr>
        <w:t>&amp;</w:t>
      </w:r>
      <w:r>
        <w:rPr>
          <w:rFonts w:cs="CG Times;Times New Roman" w:ascii="CG Times;Times New Roman" w:hAnsi="CG Times;Times New Roman"/>
          <w:sz w:val="22"/>
        </w:rPr>
        <w:t xml:space="preserve"> 61,294 at 61,982, 61,993, and 61,999 (2000)(directing CPUC to replace its imprudent dependence on the spot market with long-term bilateral contracts).</w:t>
      </w:r>
    </w:p>
  </w:footnote>
  <w:footnote w:id="7">
    <w:p>
      <w:pPr>
        <w:pStyle w:val="FootnoteText"/>
        <w:ind w:firstLine="720" w:end="0"/>
        <w:rPr/>
      </w:pPr>
      <w:r>
        <w:rPr>
          <w:rStyle w:val="FootnoteCharacters"/>
        </w:rPr>
        <w:footnoteRef/>
      </w:r>
      <w:r>
        <w:rPr>
          <w:vertAlign w:val="superscript"/>
        </w:rPr>
        <w:t xml:space="preserve"> </w:t>
      </w:r>
      <w:r>
        <w:rPr>
          <w:sz w:val="22"/>
        </w:rPr>
        <w:t>Further examples of California's leaders' inability to address head on the causes of the state's power crisis are gathered in the presentation reproduced in the attachment to this Statement, which Enron earlier submitted to the Mediator.</w:t>
      </w:r>
    </w:p>
  </w:footnote>
  <w:footnote w:id="8">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 xml:space="preserve">Even CAISO's Department of Market Analysis recognized this risk.  </w:t>
      </w:r>
      <w:r>
        <w:rPr>
          <w:rFonts w:cs="CG Times;Times New Roman" w:ascii="CG Times;Times New Roman" w:hAnsi="CG Times;Times New Roman"/>
          <w:i/>
          <w:sz w:val="22"/>
        </w:rPr>
        <w:t>See, e.g.,</w:t>
      </w:r>
      <w:r>
        <w:rPr>
          <w:rFonts w:cs="CG Times;Times New Roman" w:ascii="CG Times;Times New Roman" w:hAnsi="CG Times;Times New Roman"/>
          <w:sz w:val="22"/>
        </w:rPr>
        <w:t xml:space="preserve"> Anjali Sheffrin, </w:t>
      </w:r>
      <w:r>
        <w:rPr>
          <w:rFonts w:cs="CG Times;Times New Roman" w:ascii="CG Times;Times New Roman" w:hAnsi="CG Times;Times New Roman"/>
          <w:i/>
          <w:sz w:val="22"/>
        </w:rPr>
        <w:t>Issues under Review and Analysis</w:t>
      </w:r>
      <w:r>
        <w:rPr>
          <w:rFonts w:cs="CG Times;Times New Roman" w:ascii="CG Times;Times New Roman" w:hAnsi="CG Times;Times New Roman"/>
          <w:sz w:val="22"/>
        </w:rPr>
        <w:t xml:space="preserve"> (Sept. 2000) (www.caiso.com/docs/2001/03/27/200102271243153158 .pdf). </w:t>
      </w:r>
    </w:p>
  </w:footnote>
  <w:footnote w:id="9">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The "net short" is the amount of energy in addition to the three investor-owned utilities' generation and purchased power that is needed to meet California's load.  CDWR has the responsibility pursuant to California state law to meet fully the "net short".</w:t>
      </w:r>
    </w:p>
  </w:footnote>
  <w:footnote w:id="10">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The one expert to analyze Dr. Hildebrandt's methodology in detail, PowerEx Corp.'s witness, Dr. Richard Tabors, found that all of Dr. Hildebrant's "what if" assumptions had the effect of inflating alleged overcharges and refund liability by understating the proxy competitive market price against which Dr. Hildebrandt compared actual prices.</w:t>
      </w:r>
    </w:p>
  </w:footnote>
  <w:footnote w:id="11">
    <w:p>
      <w:pPr>
        <w:pStyle w:val="FootnoteText"/>
        <w:rPr/>
      </w:pPr>
      <w:r>
        <w:rPr>
          <w:rStyle w:val="FootnoteCharacters"/>
        </w:rPr>
        <w:footnoteRef/>
      </w:r>
      <w:r>
        <w:rPr/>
        <w:t xml:space="preserve"> </w:t>
      </w:r>
      <w:r>
        <w:rPr/>
        <w:t>The Commission should also look into the California utilities’ under-scheduling and imprudent dependence on the spot market and into the state’s failure to permit new generation.</w:t>
      </w:r>
    </w:p>
  </w:footnote>
  <w:footnote w:id="12">
    <w:p>
      <w:pPr>
        <w:pStyle w:val="Normal"/>
        <w:spacing w:before="0" w:after="240"/>
        <w:ind w:firstLine="720" w:end="0"/>
        <w:jc w:val="both"/>
        <w:rPr/>
      </w:pPr>
      <w:r>
        <w:rPr>
          <w:rStyle w:val="FootnoteCharacters"/>
        </w:rPr>
        <w:footnoteRef/>
      </w:r>
      <w:r>
        <w:rPr>
          <w:rFonts w:cs="CG Times;Times New Roman" w:ascii="CG Times;Times New Roman" w:hAnsi="CG Times;Times New Roman"/>
          <w:sz w:val="22"/>
        </w:rPr>
        <w:t xml:space="preserve">  </w:t>
      </w:r>
      <w:r>
        <w:rPr>
          <w:rFonts w:cs="CG Times;Times New Roman" w:ascii="CG Times;Times New Roman" w:hAnsi="CG Times;Times New Roman"/>
          <w:sz w:val="22"/>
        </w:rPr>
        <w:t>Pursuant to a CPUC approved tariff, both SCE and PG&amp;E owe EES significant amounts related to the CalPX Credit and are included in this element.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Enron Statement</w:t>
    </w:r>
  </w:p>
  <w:p>
    <w:pPr>
      <w:pStyle w:val="Normal"/>
      <w:tabs>
        <w:tab w:val="clear" w:pos="720"/>
        <w:tab w:val="right" w:pos="9360" w:leader="none"/>
      </w:tabs>
      <w:jc w:val="both"/>
      <w:rPr/>
    </w:pPr>
    <w:r>
      <mc:AlternateContent>
        <mc:Choice Requires="wps">
          <w:drawing>
            <wp:anchor behindDoc="1" distT="0" distB="0" distL="114935" distR="114935" simplePos="0" locked="0" layoutInCell="0" allowOverlap="1" relativeHeight="5">
              <wp:simplePos x="0" y="0"/>
              <wp:positionH relativeFrom="page">
                <wp:posOffset>920750</wp:posOffset>
              </wp:positionH>
              <wp:positionV relativeFrom="page">
                <wp:posOffset>1257300</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5pt;margin-top:99pt;width:467.95pt;height:0.9pt;mso-wrap-style:none;v-text-anchor:middle;mso-position-horizontal-relative:page;mso-position-vertical-relative:page">
              <v:fill o:detectmouseclick="t" type="solid" color2="white"/>
              <v:stroke color="#3465a4" joinstyle="round" endcap="flat"/>
              <w10:wrap type="none"/>
            </v:rect>
          </w:pict>
        </mc:Fallback>
      </mc:AlternateContent>
    </w:r>
    <w:r>
      <w:rPr/>
      <w:t>Docket No. EL00-95-031</w:t>
      <w:tab/>
      <w:t xml:space="preserve">Page </w:t>
    </w:r>
    <w:r>
      <w:rPr/>
      <w:fldChar w:fldCharType="begin"/>
    </w:r>
    <w:r>
      <w:rPr/>
      <w:instrText xml:space="preserve"> PAGE </w:instrText>
    </w:r>
    <w:r>
      <w:rPr/>
      <w:fldChar w:fldCharType="separate"/>
    </w:r>
    <w:r>
      <w:rPr/>
      <w:t>15</w:t>
    </w:r>
    <w:r>
      <w:rPr/>
      <w:fldChar w:fldCharType="end"/>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Enron Statement</w:t>
    </w:r>
  </w:p>
  <w:p>
    <w:pPr>
      <w:pStyle w:val="Normal"/>
      <w:tabs>
        <w:tab w:val="clear" w:pos="720"/>
        <w:tab w:val="right" w:pos="9360" w:leader="none"/>
      </w:tabs>
      <w:jc w:val="both"/>
      <w:rPr/>
    </w:pPr>
    <w:r>
      <mc:AlternateContent>
        <mc:Choice Requires="wps">
          <w:drawing>
            <wp:anchor behindDoc="1" distT="0" distB="0" distL="114935" distR="114935" simplePos="0" locked="0" layoutInCell="0" allowOverlap="1" relativeHeight="6">
              <wp:simplePos x="0" y="0"/>
              <wp:positionH relativeFrom="page">
                <wp:posOffset>920750</wp:posOffset>
              </wp:positionH>
              <wp:positionV relativeFrom="page">
                <wp:posOffset>1257300</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5pt;margin-top:99pt;width:467.95pt;height:0.9pt;mso-wrap-style:none;v-text-anchor:middle;mso-position-horizontal-relative:page;mso-position-vertical-relative:page">
              <v:fill o:detectmouseclick="t" type="solid" color2="white"/>
              <v:stroke color="#3465a4" joinstyle="round" endcap="flat"/>
              <w10:wrap type="none"/>
            </v:rect>
          </w:pict>
        </mc:Fallback>
      </mc:AlternateContent>
    </w:r>
    <w:r>
      <w:rPr/>
      <w:t>Docket No. EL00-95-031</w:t>
      <w:tab/>
      <w:t xml:space="preserve">Page </w:t>
    </w:r>
    <w:r>
      <w:rPr/>
      <w:fldChar w:fldCharType="begin"/>
    </w:r>
    <w:r>
      <w:rPr/>
      <w:instrText xml:space="preserve"> PAGE </w:instrText>
    </w:r>
    <w:r>
      <w:rPr/>
      <w:fldChar w:fldCharType="separate"/>
    </w:r>
    <w:r>
      <w:rPr/>
      <w:t>0</w:t>
    </w:r>
    <w:r>
      <w:rPr/>
      <w:fldChar w:fldCharType="end"/>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2"/>
      <w:numFmt w:val="decimal"/>
      <w:lvlText w:val="%1."/>
      <w:lvlJc w:val="start"/>
      <w:pPr>
        <w:tabs>
          <w:tab w:val="num" w:pos="1080"/>
        </w:tabs>
        <w:ind w:start="1080" w:hanging="360"/>
      </w:pPr>
      <w:rPr>
        <w:i/>
        <w:b/>
      </w:rPr>
    </w:lvl>
    <w:lvl w:ilvl="1">
      <w:start w:val="1"/>
      <w:numFmt w:val="decimal"/>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2"/>
      <w:numFmt w:val="upperLetter"/>
      <w:lvlText w:val="%1."/>
      <w:lvlJc w:val="start"/>
      <w:pPr>
        <w:tabs>
          <w:tab w:val="num" w:pos="1080"/>
        </w:tabs>
        <w:ind w:start="1080" w:hanging="360"/>
      </w:pPr>
      <w:rPr/>
    </w:lvl>
  </w:abstractNum>
  <w:abstractNum w:abstractNumId="4">
    <w:lvl w:ilvl="0">
      <w:start w:val="2"/>
      <w:numFmt w:val="decimal"/>
      <w:lvlText w:val="%1."/>
      <w:lvlJc w:val="start"/>
      <w:pPr>
        <w:tabs>
          <w:tab w:val="num" w:pos="1080"/>
        </w:tabs>
        <w:ind w:start="1080" w:hanging="360"/>
      </w:pPr>
      <w:rPr>
        <w:i/>
        <w:b/>
      </w:rPr>
    </w:lvl>
    <w:lvl w:ilvl="1">
      <w:start w:val="1"/>
      <w:numFmt w:val="decimal"/>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jc w:val="both"/>
      <w:outlineLvl w:val="0"/>
    </w:pPr>
    <w:rPr>
      <w:b/>
      <w:i/>
      <w:sz w:val="26"/>
    </w:rPr>
  </w:style>
  <w:style w:type="paragraph" w:styleId="Heading2">
    <w:name w:val="heading 2"/>
    <w:basedOn w:val="Normal"/>
    <w:next w:val="Normal"/>
    <w:qFormat/>
    <w:pPr>
      <w:keepNext w:val="true"/>
      <w:widowControl/>
      <w:tabs>
        <w:tab w:val="clear" w:pos="720"/>
        <w:tab w:val="left" w:pos="-1440" w:leader="none"/>
      </w:tabs>
      <w:jc w:val="center"/>
      <w:outlineLvl w:val="1"/>
    </w:pPr>
    <w:rPr>
      <w:b/>
      <w:sz w:val="32"/>
      <w:u w:val="single"/>
    </w:rPr>
  </w:style>
  <w:style w:type="character" w:styleId="WW8Num1z0">
    <w:name w:val="WW8Num1z0"/>
    <w:qFormat/>
    <w:rPr/>
  </w:style>
  <w:style w:type="character" w:styleId="WW8Num2z0">
    <w:name w:val="WW8Num2z0"/>
    <w:qFormat/>
    <w:rPr/>
  </w:style>
  <w:style w:type="character" w:styleId="WW8Num3z0">
    <w:name w:val="WW8Num3z0"/>
    <w:qFormat/>
    <w:rPr>
      <w:b/>
      <w:i/>
    </w:rPr>
  </w:style>
  <w:style w:type="character" w:styleId="WW8Num3z1">
    <w:name w:val="WW8Num3z1"/>
    <w:qFormat/>
    <w:rPr/>
  </w:style>
  <w:style w:type="character" w:styleId="WW8Num4z0">
    <w:name w:val="WW8Num4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i/>
    </w:rPr>
  </w:style>
  <w:style w:type="character" w:styleId="WW8Num13z1">
    <w:name w:val="WW8Num13z1"/>
    <w:qFormat/>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autoSpaceDE w:val="false"/>
      <w:spacing w:lineRule="auto" w:line="480"/>
      <w:jc w:val="both"/>
    </w:pPr>
    <w:rPr>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widowControl/>
      <w:tabs>
        <w:tab w:val="clear" w:pos="720"/>
        <w:tab w:val="left" w:pos="-1440" w:leader="none"/>
      </w:tabs>
      <w:ind w:hanging="720" w:start="1440" w:end="0"/>
      <w:jc w:val="both"/>
    </w:pPr>
    <w:rPr>
      <w:b/>
      <w:i/>
      <w:sz w:val="26"/>
    </w:rPr>
  </w:style>
  <w:style w:type="paragraph" w:styleId="BodyTextIndent2">
    <w:name w:val="Body Text Indent 2"/>
    <w:basedOn w:val="Normal"/>
    <w:qFormat/>
    <w:pPr>
      <w:widowControl/>
      <w:spacing w:lineRule="auto" w:line="480"/>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2001-07-12T17:49:00Z</dcterms:created>
  <dc:creator>Bracewell &amp; Patterson, L.L.P.</dc:creator>
  <dc:description/>
  <dc:language>en-CA</dc:language>
  <cp:lastModifiedBy>Bracewell &amp; Patterson</cp:lastModifiedBy>
  <cp:lastPrinted>2001-07-12T16:18:00Z</cp:lastPrinted>
  <dcterms:modified xsi:type="dcterms:W3CDTF">2001-07-12T17:49:00Z</dcterms:modified>
  <cp:revision>2</cp:revision>
  <dc:subject/>
  <dc:title>UNITED STATES OF AMERICA</dc:title>
</cp:coreProperties>
</file>