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pPr>
      <w:r>
        <w:rPr/>
        <w:t>IN THE COURT OF QUEEN’S BENCH OF ALBERTA</w:t>
      </w:r>
    </w:p>
    <w:p>
      <w:pPr>
        <w:pStyle w:val="Normal"/>
        <w:suppressAutoHyphens w:val="true"/>
        <w:jc w:val="center"/>
        <w:rPr/>
      </w:pPr>
      <w:r>
        <w:rPr/>
        <w:t>JUDICIAL DISTRICT OF CALGARY</w:t>
      </w:r>
    </w:p>
    <w:p>
      <w:pPr>
        <w:pStyle w:val="Normal"/>
        <w:suppressAutoHyphens w:val="true"/>
        <w:jc w:val="center"/>
        <w:rPr/>
      </w:pPr>
      <w:r>
        <w:rPr/>
      </w:r>
    </w:p>
    <w:p>
      <w:pPr>
        <w:pStyle w:val="Normal"/>
        <w:suppressAutoHyphens w:val="true"/>
        <w:rPr/>
      </w:pPr>
      <w:r>
        <w:rPr/>
        <w:t>BETWEEN:</w:t>
      </w:r>
    </w:p>
    <w:p>
      <w:pPr>
        <w:pStyle w:val="Normal"/>
        <w:suppressAutoHyphens w:val="true"/>
        <w:rPr/>
      </w:pPr>
      <w:r>
        <w:rPr/>
      </w:r>
    </w:p>
    <w:p>
      <w:pPr>
        <w:pStyle w:val="Normal"/>
        <w:suppressAutoHyphens w:val="true"/>
        <w:jc w:val="center"/>
        <w:rPr>
          <w:b/>
        </w:rPr>
      </w:pPr>
      <w:r>
        <w:rPr>
          <w:b/>
        </w:rPr>
        <w:t>ENRON CANADA CORP.</w:t>
      </w:r>
    </w:p>
    <w:p>
      <w:pPr>
        <w:pStyle w:val="Normal"/>
        <w:suppressAutoHyphens w:val="true"/>
        <w:jc w:val="center"/>
        <w:rPr>
          <w:b/>
        </w:rPr>
      </w:pPr>
      <w:r>
        <w:rPr>
          <w:b/>
        </w:rPr>
      </w:r>
    </w:p>
    <w:p>
      <w:pPr>
        <w:pStyle w:val="Normal"/>
        <w:suppressAutoHyphens w:val="true"/>
        <w:jc w:val="end"/>
        <w:rPr/>
      </w:pPr>
      <w:r>
        <w:rPr/>
        <w:t>Plaintiff</w:t>
      </w:r>
    </w:p>
    <w:p>
      <w:pPr>
        <w:pStyle w:val="Normal"/>
        <w:numPr>
          <w:ilvl w:val="0"/>
          <w:numId w:val="6"/>
        </w:numPr>
        <w:suppressAutoHyphens w:val="true"/>
        <w:jc w:val="center"/>
        <w:rPr/>
      </w:pPr>
      <w:r>
        <w:rPr/>
        <w:t>and –</w:t>
      </w:r>
    </w:p>
    <w:p>
      <w:pPr>
        <w:pStyle w:val="Normal"/>
        <w:suppressAutoHyphens w:val="true"/>
        <w:rPr/>
      </w:pPr>
      <w:r>
        <w:rPr/>
      </w:r>
    </w:p>
    <w:p>
      <w:pPr>
        <w:pStyle w:val="Normal"/>
        <w:jc w:val="center"/>
        <w:rPr>
          <w:b/>
        </w:rPr>
      </w:pPr>
      <w:r>
        <w:rPr>
          <w:b/>
        </w:rPr>
        <w:t xml:space="preserve">NGX CANADA INC., CANADIAN ENERDATA LTD., </w:t>
      </w:r>
    </w:p>
    <w:p>
      <w:pPr>
        <w:pStyle w:val="Normal"/>
        <w:jc w:val="center"/>
        <w:rPr>
          <w:b/>
        </w:rPr>
      </w:pPr>
      <w:r>
        <w:rPr>
          <w:b/>
        </w:rPr>
        <w:t>WESTCOAST ENERGY INC., OM GRUPPEN AB and</w:t>
      </w:r>
    </w:p>
    <w:p>
      <w:pPr>
        <w:pStyle w:val="Normal"/>
        <w:jc w:val="center"/>
        <w:rPr>
          <w:b/>
        </w:rPr>
      </w:pPr>
      <w:r>
        <w:rPr>
          <w:b/>
        </w:rPr>
        <w:t>RICHARD ZARZECZNY</w:t>
      </w:r>
    </w:p>
    <w:p>
      <w:pPr>
        <w:pStyle w:val="Normal"/>
        <w:jc w:val="center"/>
        <w:rPr>
          <w:b/>
        </w:rPr>
      </w:pPr>
      <w:r>
        <w:rPr>
          <w:b/>
        </w:rPr>
      </w:r>
    </w:p>
    <w:p>
      <w:pPr>
        <w:pStyle w:val="Normal"/>
        <w:jc w:val="end"/>
        <w:rPr/>
      </w:pPr>
      <w:r>
        <w:rPr/>
        <w:t>Defendants</w:t>
      </w:r>
    </w:p>
    <w:p>
      <w:pPr>
        <w:pStyle w:val="Normal"/>
        <w:jc w:val="center"/>
        <w:rPr/>
      </w:pPr>
      <w:r>
        <w:rPr/>
      </w:r>
    </w:p>
    <w:p>
      <w:pPr>
        <w:pStyle w:val="Normal"/>
        <w:jc w:val="center"/>
        <w:rPr/>
      </w:pPr>
      <w:r>
        <w:rPr/>
      </w:r>
    </w:p>
    <w:p>
      <w:pPr>
        <w:pStyle w:val="Normal"/>
        <w:jc w:val="center"/>
        <w:rPr>
          <w:b/>
          <w:u w:val="single"/>
        </w:rPr>
      </w:pPr>
      <w:r>
        <w:rPr>
          <w:b/>
          <w:u w:val="single"/>
        </w:rPr>
        <w:t>STATEMENT OF CLAIM</w:t>
      </w:r>
    </w:p>
    <w:p>
      <w:pPr>
        <w:pStyle w:val="Normal"/>
        <w:jc w:val="center"/>
        <w:rPr>
          <w:b/>
          <w:u w:val="single"/>
        </w:rPr>
      </w:pPr>
      <w:r>
        <w:rPr>
          <w:b/>
          <w:u w:val="single"/>
        </w:rPr>
      </w:r>
    </w:p>
    <w:p>
      <w:pPr>
        <w:pStyle w:val="head3"/>
        <w:rPr/>
      </w:pPr>
      <w:r>
        <w:rPr/>
        <w:t>The Parties</w:t>
      </w:r>
    </w:p>
    <w:p>
      <w:pPr>
        <w:pStyle w:val="Standard2L1"/>
        <w:numPr>
          <w:ilvl w:val="0"/>
          <w:numId w:val="9"/>
        </w:numPr>
        <w:ind w:hanging="0" w:start="0"/>
        <w:rPr/>
      </w:pPr>
      <w:bookmarkStart w:id="0" w:name="_Ref500135476"/>
      <w:r>
        <w:rPr/>
        <w:t>Enron Canada Corp. is the successor to Enron Capital &amp; Trade Resources Canada Corp. (“Enron Canada”) and is a body corporate, incorporated under the laws of Alberta with a head office in Calgary, Alberta.</w:t>
      </w:r>
      <w:bookmarkEnd w:id="0"/>
    </w:p>
    <w:p>
      <w:pPr>
        <w:pStyle w:val="Standard2L1"/>
        <w:numPr>
          <w:ilvl w:val="0"/>
          <w:numId w:val="9"/>
        </w:numPr>
        <w:ind w:hanging="0" w:start="0"/>
        <w:rPr/>
      </w:pPr>
      <w:r>
        <w:rPr/>
        <w:t>The Defendant, NGX Canada Inc. (“NGX”), is a body corporate, incorporated under the laws of Canada and extra-provincially registered to carry on business in Alberta.</w:t>
      </w:r>
    </w:p>
    <w:p>
      <w:pPr>
        <w:pStyle w:val="Standard2L1"/>
        <w:numPr>
          <w:ilvl w:val="0"/>
          <w:numId w:val="9"/>
        </w:numPr>
        <w:ind w:hanging="0" w:start="0"/>
        <w:rPr/>
      </w:pPr>
      <w:r>
        <w:rPr/>
        <w:t>The Defendant, Canadian Enerdata Ltd. (“Canadian Enerdata”), is a body corporate, incorporated under the laws of Ontario.</w:t>
      </w:r>
    </w:p>
    <w:p>
      <w:pPr>
        <w:pStyle w:val="Standard2L1"/>
        <w:numPr>
          <w:ilvl w:val="0"/>
          <w:numId w:val="9"/>
        </w:numPr>
        <w:ind w:hanging="0" w:start="0"/>
        <w:rPr/>
      </w:pPr>
      <w:r>
        <w:rPr/>
        <w:t>The Defendant, Westcoast Energy Inc. (“Westcoast”), is a body corporate, incorporated under the laws of Canada and extra-provincially registered to carry on business in Alberta.  At all material times, Westcoast was a 51% shareholder of NGX.</w:t>
      </w:r>
    </w:p>
    <w:p>
      <w:pPr>
        <w:pStyle w:val="Standard2L1"/>
        <w:numPr>
          <w:ilvl w:val="0"/>
          <w:numId w:val="9"/>
        </w:numPr>
        <w:ind w:hanging="0" w:start="0"/>
        <w:rPr/>
      </w:pPr>
      <w:r>
        <w:rPr/>
        <w:t>The Defendant, Om Gruppen AB (“OM”), is a body corporate, incorporated under the laws of Sweden.  At all material times, OM was a 49% shareholder of NGX.</w:t>
      </w:r>
    </w:p>
    <w:p>
      <w:pPr>
        <w:pStyle w:val="Standard2L1"/>
        <w:numPr>
          <w:ilvl w:val="0"/>
          <w:numId w:val="9"/>
        </w:numPr>
        <w:ind w:hanging="0" w:start="0"/>
        <w:rPr/>
      </w:pPr>
      <w:r>
        <w:rPr/>
        <w:t>The Defendant, Richard Zarzeczny (“Zarzeczny”), is an individual who resides, so far as is known to Enron Canada, in Stouffville, Ontario.  At all material times, Zarzeczny was the sole director and shareholder of Canadian Enerdata.</w:t>
      </w:r>
    </w:p>
    <w:p>
      <w:pPr>
        <w:pStyle w:val="head3"/>
        <w:rPr/>
      </w:pPr>
      <w:r>
        <w:rPr/>
        <w:t>Canadian Gas Reporter</w:t>
      </w:r>
    </w:p>
    <w:p>
      <w:pPr>
        <w:pStyle w:val="Standard2L1"/>
        <w:numPr>
          <w:ilvl w:val="0"/>
          <w:numId w:val="9"/>
        </w:numPr>
        <w:ind w:hanging="0" w:start="0"/>
        <w:rPr/>
      </w:pPr>
      <w:r>
        <w:rPr/>
        <w:t xml:space="preserve">Canadian Enerdata has, since on or about 1988, published a periodical report known as </w:t>
      </w:r>
      <w:r>
        <w:rPr>
          <w:i/>
        </w:rPr>
        <w:t>Canadian Gas Price Reporter</w:t>
      </w:r>
      <w:r>
        <w:rPr/>
        <w:t xml:space="preserve"> which published certain gas indices commonly known as the AECO/N.I.T. Daily Spot Price Indices, the AECO “C” &amp; N.I.T. One-Month Spot Price and Bid-Week Indices (collectively, the “Gas Price Indices”).</w:t>
      </w:r>
    </w:p>
    <w:p>
      <w:pPr>
        <w:pStyle w:val="head3"/>
        <w:rPr/>
      </w:pPr>
      <w:r>
        <w:rPr/>
        <w:t>Methodology of Calculation for Gas Price Indices Prior to October 1, 2000</w:t>
      </w:r>
    </w:p>
    <w:p>
      <w:pPr>
        <w:pStyle w:val="Standard2L1"/>
        <w:numPr>
          <w:ilvl w:val="0"/>
          <w:numId w:val="9"/>
        </w:numPr>
        <w:ind w:hanging="0" w:start="0"/>
        <w:rPr/>
      </w:pPr>
      <w:r>
        <w:rPr/>
        <w:t xml:space="preserve">Prior to on or about September 28, 2000 and since at least 1981, Canadian Enerdata was an independent and neutral party who generated the Gas Price Indices by using source data extracted from a traditional and comprehensive survey of participants within the physical and financial natural gas trading industry (the “Traditional Survey”) including, </w:t>
      </w:r>
      <w:r>
        <w:rPr>
          <w:i/>
        </w:rPr>
        <w:t>inter alia</w:t>
      </w:r>
      <w:r>
        <w:rPr/>
        <w:t xml:space="preserve">, gas consumers, traders, marketers and producers (the “Industry Participants”).  Enron Canada, like other Industry Participants, voluntarily responded to the Traditional Survey as it was in its best interests to do so given, </w:t>
      </w:r>
      <w:r>
        <w:rPr>
          <w:i/>
        </w:rPr>
        <w:t>inter alia</w:t>
      </w:r>
      <w:r>
        <w:rPr/>
        <w:t>, its desire to maintain neutral, reliable and consistent Gas Price Indices as detailed below.</w:t>
      </w:r>
    </w:p>
    <w:p>
      <w:pPr>
        <w:pStyle w:val="Standard2L1"/>
        <w:numPr>
          <w:ilvl w:val="0"/>
          <w:numId w:val="9"/>
        </w:numPr>
        <w:ind w:hanging="0" w:start="0"/>
        <w:rPr/>
      </w:pPr>
      <w:r>
        <w:rPr/>
        <w:t xml:space="preserve">Prior to October 1, 2000, the Gas Price Indices were formulated by calculating the volume weighted average of all physical fixed-price transactions undertaken by Industry Participants over a relevant index period using the Traditional Survey methodology.  The Gas Price Indices published in the </w:t>
      </w:r>
      <w:r>
        <w:rPr>
          <w:i/>
        </w:rPr>
        <w:t>Canadian Gas Price Reporter</w:t>
      </w:r>
      <w:r>
        <w:rPr/>
        <w:t xml:space="preserve"> were used in respect of virtually all index-related transactions within the physical and financial natural gas trading industry given, </w:t>
      </w:r>
      <w:r>
        <w:rPr>
          <w:i/>
        </w:rPr>
        <w:t>inter alia</w:t>
      </w:r>
      <w:r>
        <w:rPr/>
        <w:t xml:space="preserve">, the absence of similar publications and/or the absence of any alternative index providing, </w:t>
      </w:r>
      <w:r>
        <w:rPr>
          <w:i/>
        </w:rPr>
        <w:t>inter alia</w:t>
      </w:r>
      <w:r>
        <w:rPr/>
        <w:t>, neutrality, reliability and consistency in respect of the Gas Price Indices as detailed below.</w:t>
      </w:r>
    </w:p>
    <w:p>
      <w:pPr>
        <w:pStyle w:val="Standard2L1"/>
        <w:numPr>
          <w:ilvl w:val="0"/>
          <w:numId w:val="9"/>
        </w:numPr>
        <w:ind w:hanging="0" w:start="0"/>
        <w:rPr/>
      </w:pPr>
      <w:r>
        <w:rPr/>
        <w:t xml:space="preserve">The methodology employed by Canadian Enerdata in generating the Gas Price Indices prior to October 1, 2000, using the Traditional Survey methodology was widely supported, heavily relied upon and otherwise used by Industry Participants in the physical and financial gas trading industry, including Enron Canada, having regard to the characteristics inherent in such methodology used to calculate the Gas Price Indices which, </w:t>
      </w:r>
      <w:r>
        <w:rPr>
          <w:i/>
        </w:rPr>
        <w:t>inter alia</w:t>
      </w:r>
      <w:r>
        <w:rPr/>
        <w:t>, included:</w:t>
      </w:r>
    </w:p>
    <w:p>
      <w:pPr>
        <w:pStyle w:val="Standard2L2"/>
        <w:numPr>
          <w:ilvl w:val="1"/>
          <w:numId w:val="9"/>
        </w:numPr>
        <w:ind w:hanging="0" w:start="0"/>
        <w:rPr/>
      </w:pPr>
      <w:r>
        <w:rPr/>
        <w:t>neutrality – prior to the NGX/Canadian Enerdata Transaction, as defined below, the Gas Price Indices were prepared by an independent and neutral party with no economic interest in the objective information published.  The Gas Price Indices were an impartial and accurate representation of the prevailing market prices for natural gas during a specified index period;</w:t>
      </w:r>
    </w:p>
    <w:p>
      <w:pPr>
        <w:pStyle w:val="Standard2L2"/>
        <w:numPr>
          <w:ilvl w:val="1"/>
          <w:numId w:val="9"/>
        </w:numPr>
        <w:ind w:hanging="0" w:start="0"/>
        <w:rPr/>
      </w:pPr>
      <w:r>
        <w:rPr/>
        <w:t>reliability (or integrity) – the methodology employed to create the Gas Price Indices utilized a traditional and comprehensive survey of Industry Participants in the physical and financial natural gas trading industry which contained extensive source data used to calculate the volume weighted average obtained by Industry Participants resulting in reliable Gas Price Indices;  and</w:t>
      </w:r>
    </w:p>
    <w:p>
      <w:pPr>
        <w:pStyle w:val="Standard2L2"/>
        <w:numPr>
          <w:ilvl w:val="1"/>
          <w:numId w:val="9"/>
        </w:numPr>
        <w:ind w:hanging="0" w:start="0"/>
        <w:rPr/>
      </w:pPr>
      <w:r>
        <w:rPr/>
        <w:t>consistency –the extensive and representative nature of the source data provided a broad basis for the formulation of the Gas Price Indices and as a result, the same were less likely to be subject to manipulation by Industry Participants.</w:t>
      </w:r>
    </w:p>
    <w:p>
      <w:pPr>
        <w:pStyle w:val="head3"/>
        <w:rPr/>
      </w:pPr>
      <w:bookmarkStart w:id="1" w:name="_Ref500056202"/>
      <w:bookmarkEnd w:id="1"/>
      <w:r>
        <w:rPr/>
        <w:t>Subscription Agreement</w:t>
      </w:r>
    </w:p>
    <w:p>
      <w:pPr>
        <w:pStyle w:val="Standard2L1"/>
        <w:numPr>
          <w:ilvl w:val="0"/>
          <w:numId w:val="9"/>
        </w:numPr>
        <w:ind w:hanging="0" w:start="0"/>
        <w:rPr/>
      </w:pPr>
      <w:bookmarkStart w:id="2" w:name="_Ref500056202"/>
      <w:bookmarkStart w:id="3" w:name="_Ref500135160"/>
      <w:bookmarkEnd w:id="2"/>
      <w:r>
        <w:rPr/>
        <w:t xml:space="preserve">Enron Canada, like other Industry Participants, for good and valuable consideration subscribed to </w:t>
      </w:r>
      <w:r>
        <w:rPr>
          <w:i/>
        </w:rPr>
        <w:t>Canadian Gas Price Reporter</w:t>
      </w:r>
      <w:r>
        <w:rPr/>
        <w:t xml:space="preserve"> since on or about April, 1995 (the “Subscription Agreement”) and relied upon the Gas Price Indices as, </w:t>
      </w:r>
      <w:r>
        <w:rPr>
          <w:i/>
        </w:rPr>
        <w:t>inter alia</w:t>
      </w:r>
      <w:r>
        <w:rPr/>
        <w:t>, neutral, reliable and consistent indices for physical and financial settlements in the natural gas trading environment as a representative and impartial representation of the prevailing industry wide market prices for natural gas traded during an index period.  Pursuant to the Subscription Agreement, Canadian Enerdata and/or Zarzeczny expressly or impliedly agreed and otherwise represented that:</w:t>
      </w:r>
      <w:bookmarkEnd w:id="3"/>
    </w:p>
    <w:p>
      <w:pPr>
        <w:pStyle w:val="Standard2L2"/>
        <w:numPr>
          <w:ilvl w:val="1"/>
          <w:numId w:val="9"/>
        </w:numPr>
        <w:ind w:hanging="0" w:start="0"/>
        <w:rPr/>
      </w:pPr>
      <w:r>
        <w:rPr/>
        <w:t>the Gas Price Indices would, at all material times, be calculated using the volume weighted average of all index-related transactions undertaken by Industry Participants over a relevant index period;</w:t>
      </w:r>
    </w:p>
    <w:p>
      <w:pPr>
        <w:pStyle w:val="Standard2L2"/>
        <w:numPr>
          <w:ilvl w:val="1"/>
          <w:numId w:val="9"/>
        </w:numPr>
        <w:ind w:hanging="0" w:start="0"/>
        <w:rPr/>
      </w:pPr>
      <w:r>
        <w:rPr/>
        <w:t xml:space="preserve">the Gas Price Indices would be calculated in such a fashion to ensure, </w:t>
      </w:r>
      <w:r>
        <w:rPr>
          <w:i/>
        </w:rPr>
        <w:t>inter alia</w:t>
      </w:r>
      <w:r>
        <w:rPr/>
        <w:t>, neutrality, reliability and consistency as defined below;</w:t>
      </w:r>
    </w:p>
    <w:p>
      <w:pPr>
        <w:pStyle w:val="Standard2L2"/>
        <w:numPr>
          <w:ilvl w:val="1"/>
          <w:numId w:val="9"/>
        </w:numPr>
        <w:ind w:hanging="0" w:start="0"/>
        <w:rPr/>
      </w:pPr>
      <w:r>
        <w:rPr/>
        <w:t>Canadian Enerdata would obtain the consent of all Industry Participants, including Enron Canada, prior to any proposed change to the methodology employed in calculating the Gas Price Indices;</w:t>
      </w:r>
    </w:p>
    <w:p>
      <w:pPr>
        <w:pStyle w:val="Standard2L2"/>
        <w:numPr>
          <w:ilvl w:val="1"/>
          <w:numId w:val="9"/>
        </w:numPr>
        <w:ind w:hanging="0" w:start="0"/>
        <w:rPr/>
      </w:pPr>
      <w:r>
        <w:rPr/>
        <w:t xml:space="preserve">Canadian Enerdata would not enter into any transaction with any other party which had the effect of changing the methodology of calculating the Gas Price Indices to detract or otherwise negate from, </w:t>
      </w:r>
      <w:r>
        <w:rPr>
          <w:i/>
        </w:rPr>
        <w:t>inter alia</w:t>
      </w:r>
      <w:r>
        <w:rPr/>
        <w:t>, the neutrality, reliability or consistency of the Gas Price Indices;</w:t>
      </w:r>
    </w:p>
    <w:p>
      <w:pPr>
        <w:pStyle w:val="Standard2L2"/>
        <w:numPr>
          <w:ilvl w:val="1"/>
          <w:numId w:val="9"/>
        </w:numPr>
        <w:ind w:hanging="0" w:start="0"/>
        <w:rPr/>
      </w:pPr>
      <w:r>
        <w:rPr/>
        <w:t>to the extent that the methodology of the Gas Price Indices was proposed to be substituted or otherwise varied (with the consent of Enron Canada), all Industry Participants, including Enron Canada, would be informed of such proposals in the same time and manner; and</w:t>
      </w:r>
    </w:p>
    <w:p>
      <w:pPr>
        <w:pStyle w:val="Standard2L2"/>
        <w:numPr>
          <w:ilvl w:val="1"/>
          <w:numId w:val="9"/>
        </w:numPr>
        <w:ind w:hanging="0" w:start="0"/>
        <w:rPr/>
      </w:pPr>
      <w:r>
        <w:rPr/>
        <w:t>Canadian Enerdata would provide reasonable notice of any proposed or actual changes or modifications to the methodology of calculating the Gas Price Indices.</w:t>
      </w:r>
    </w:p>
    <w:p>
      <w:pPr>
        <w:pStyle w:val="Standard2L1"/>
        <w:numPr>
          <w:ilvl w:val="0"/>
          <w:numId w:val="9"/>
        </w:numPr>
        <w:ind w:hanging="0" w:start="0"/>
        <w:rPr/>
      </w:pPr>
      <w:r>
        <w:rPr/>
        <w:t xml:space="preserve">Further, Enron states that the relationship between Canadian Enerdata and Enron Canada was one of trust, good faith and confidence and that it was an express or implied term of the contract that Canadian Enerdata would act in good faith in performing its obligations thereunder.  </w:t>
      </w:r>
    </w:p>
    <w:p>
      <w:pPr>
        <w:pStyle w:val="head3"/>
        <w:rPr/>
      </w:pPr>
      <w:r>
        <w:rPr/>
        <w:t>Enron Canada Gas Transactions</w:t>
      </w:r>
    </w:p>
    <w:p>
      <w:pPr>
        <w:pStyle w:val="Standard2L1"/>
        <w:numPr>
          <w:ilvl w:val="0"/>
          <w:numId w:val="9"/>
        </w:numPr>
        <w:ind w:hanging="0" w:start="0"/>
        <w:rPr/>
      </w:pPr>
      <w:r>
        <w:rPr/>
        <w:t xml:space="preserve">Enron Canada has entered into hundreds of contracts for or related to the purchase and sale of natural gas and thousands of corresponding transactions using its Master Firm Gas Purchase/Sale Agreements which are well-known and widely available to Industry Participants, including the Defendants (the “Master Firm Agreements”).  The Master Firm Agreements make reference to, rely upon and calculate payment obligations based upon the Gas Price Indices published in the </w:t>
      </w:r>
      <w:r>
        <w:rPr>
          <w:i/>
        </w:rPr>
        <w:t>Canadian Gas Price Reporter</w:t>
      </w:r>
      <w:r>
        <w:rPr/>
        <w:t xml:space="preserve"> which are specifically defined in the Master Firm Agreements as follows:</w:t>
      </w:r>
    </w:p>
    <w:p>
      <w:pPr>
        <w:pStyle w:val="Standard2L2"/>
        <w:numPr>
          <w:ilvl w:val="1"/>
          <w:numId w:val="9"/>
        </w:numPr>
        <w:ind w:hanging="0" w:start="0"/>
        <w:rPr/>
      </w:pPr>
      <w:r>
        <w:rPr/>
        <w:t>“</w:t>
      </w:r>
      <w:r>
        <w:rPr/>
        <w:t xml:space="preserve">AECO Day Price” means for any Day, the price set forth for the specific Day in the first edition of the </w:t>
      </w:r>
      <w:r>
        <w:rPr>
          <w:i/>
        </w:rPr>
        <w:t>Canadian Gas Price Reporter</w:t>
      </w:r>
      <w:r>
        <w:rPr/>
        <w:t xml:space="preserve"> 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Standard2L2"/>
        <w:numPr>
          <w:ilvl w:val="1"/>
          <w:numId w:val="9"/>
        </w:numPr>
        <w:ind w:hanging="0" w:start="0"/>
        <w:rPr/>
      </w:pPr>
      <w:r>
        <w:rPr/>
        <w:t>“</w:t>
      </w:r>
      <w:r>
        <w:rPr/>
        <w:t xml:space="preserve">AECO Index” means, for any Month, the price set forth for that specific Delivery Month in the first edition of the </w:t>
      </w:r>
      <w:r>
        <w:rPr>
          <w:i/>
        </w:rPr>
        <w:t>Canadian Gas Price Reporter</w:t>
      </w:r>
      <w:r>
        <w:rPr/>
        <w:t xml:space="preserve"> 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Standard2L1"/>
        <w:numPr>
          <w:ilvl w:val="0"/>
          <w:numId w:val="9"/>
        </w:numPr>
        <w:ind w:hanging="0" w:start="0"/>
        <w:rPr/>
      </w:pPr>
      <w:r>
        <w:rPr/>
        <w:t xml:space="preserve">In addition, pursuant to the Master Firm Agreements, and pursuant to ISDA Master Agreements (and other similar Master Agreements), General Terms and Conditions, Firm Less Than 31 Day Agreements and Interruptible Gas Purchase/Sale Agreements, Enron Canada and its counterparties provide for a mechanism of written confirmations (the “Confirmations”) to affirm the terms of any specific natural gas purchase and sale transaction.  The Confirmations also make reference to, rely upon and calculate the payment obligations between the transacting parties based upon the Gas Price Indices and the accepted methodology published in the </w:t>
      </w:r>
      <w:r>
        <w:rPr>
          <w:i/>
        </w:rPr>
        <w:t>Canadian Gas Price Reporter</w:t>
      </w:r>
      <w:r>
        <w:rPr/>
        <w:t xml:space="preserve"> using, for example, the definitions set forth below as follows:</w:t>
      </w:r>
    </w:p>
    <w:tbl>
      <w:tblPr>
        <w:tblW w:w="9576" w:type="dxa"/>
        <w:jc w:val="start"/>
        <w:tblInd w:w="0" w:type="dxa"/>
        <w:tblLayout w:type="fixed"/>
        <w:tblCellMar>
          <w:top w:w="0" w:type="dxa"/>
          <w:start w:w="108" w:type="dxa"/>
          <w:bottom w:w="0" w:type="dxa"/>
          <w:end w:w="108" w:type="dxa"/>
        </w:tblCellMar>
      </w:tblPr>
      <w:tblGrid>
        <w:gridCol w:w="2178"/>
        <w:gridCol w:w="7398"/>
      </w:tblGrid>
      <w:tr>
        <w:trPr/>
        <w:tc>
          <w:tcPr>
            <w:tcW w:w="2178" w:type="dxa"/>
            <w:tcBorders/>
          </w:tcPr>
          <w:p>
            <w:pPr>
              <w:pStyle w:val="NumContinue"/>
              <w:snapToGrid w:val="false"/>
              <w:spacing w:lineRule="auto" w:line="240" w:before="0" w:after="0"/>
              <w:rPr>
                <w:sz w:val="22"/>
              </w:rPr>
            </w:pPr>
            <w:r>
              <w:rPr>
                <w:sz w:val="22"/>
              </w:rPr>
            </w:r>
          </w:p>
        </w:tc>
        <w:tc>
          <w:tcPr>
            <w:tcW w:w="7398" w:type="dxa"/>
            <w:tcBorders/>
          </w:tcPr>
          <w:p>
            <w:pPr>
              <w:pStyle w:val="NumContinue"/>
              <w:spacing w:lineRule="auto" w:line="240" w:before="0" w:after="0"/>
              <w:jc w:val="center"/>
              <w:rPr>
                <w:b/>
                <w:sz w:val="22"/>
              </w:rPr>
            </w:pPr>
            <w:r>
              <w:rPr>
                <w:b/>
                <w:sz w:val="22"/>
              </w:rPr>
              <w:t>AECO “C” MONTHLY INDEX (Canadian)</w:t>
            </w:r>
          </w:p>
          <w:p>
            <w:pPr>
              <w:pStyle w:val="NumContinue"/>
              <w:spacing w:lineRule="auto" w:line="240" w:before="0" w:after="0"/>
              <w:jc w:val="center"/>
              <w:rPr>
                <w:b/>
                <w:sz w:val="22"/>
              </w:rPr>
            </w:pPr>
            <w:r>
              <w:rPr>
                <w:b/>
                <w:sz w:val="22"/>
              </w:rPr>
            </w:r>
          </w:p>
        </w:tc>
      </w:tr>
      <w:tr>
        <w:trPr/>
        <w:tc>
          <w:tcPr>
            <w:tcW w:w="2178" w:type="dxa"/>
            <w:tcBorders/>
          </w:tcPr>
          <w:p>
            <w:pPr>
              <w:pStyle w:val="NumContinue"/>
              <w:spacing w:lineRule="auto" w:line="240" w:before="0" w:after="0"/>
              <w:rPr>
                <w:sz w:val="22"/>
              </w:rPr>
            </w:pPr>
            <w:r>
              <w:rPr>
                <w:sz w:val="22"/>
              </w:rPr>
              <w:t>CONTRACT PRICE:</w:t>
            </w:r>
          </w:p>
        </w:tc>
        <w:tc>
          <w:tcPr>
            <w:tcW w:w="7398" w:type="dxa"/>
            <w:tcBorders/>
          </w:tcPr>
          <w:p>
            <w:pPr>
              <w:pStyle w:val="NumContinue"/>
              <w:spacing w:lineRule="auto" w:line="240" w:before="0" w:after="0"/>
              <w:rPr/>
            </w:pPr>
            <w:r>
              <w:rPr>
                <w:sz w:val="22"/>
              </w:rPr>
              <w:t xml:space="preserve">The Contract Price, for each Delivery Month, shall be a price in Canadian dollars per GJ equal to the AECO “C” Monthly Index, </w:t>
            </w:r>
            <w:r>
              <w:rPr>
                <w:sz w:val="22"/>
                <w:u w:val="single"/>
              </w:rPr>
              <w:t>minus/plus</w:t>
            </w:r>
            <w:r>
              <w:rPr>
                <w:sz w:val="22"/>
              </w:rPr>
              <w:t xml:space="preserve"> Cdn. $</w:t>
            </w:r>
            <w:r>
              <w:rPr>
                <w:sz w:val="22"/>
                <w:u w:val="single"/>
              </w:rPr>
              <w:t xml:space="preserve">          </w:t>
            </w:r>
            <w:r>
              <w:rPr>
                <w:sz w:val="22"/>
              </w:rPr>
              <w:t xml:space="preserve"> per GJ, where: “AECO “C” Monthly Index” means the price in Canadian dollars per GJ in the “Avg” column published in the table “Canadian Natural Gas Supply Prices”, in the </w:t>
            </w:r>
            <w:r>
              <w:rPr>
                <w:i/>
                <w:sz w:val="22"/>
              </w:rPr>
              <w:t>Canadian Gas Price Reporter</w:t>
            </w:r>
            <w:r>
              <w:rPr>
                <w:sz w:val="22"/>
              </w:rPr>
              <w:t>, in the row for “Alberta: AECO “C” &amp; NIT One-Month Spot”, for the applicable Delivery Month.</w:t>
            </w:r>
          </w:p>
          <w:p>
            <w:pPr>
              <w:pStyle w:val="NumContinue"/>
              <w:spacing w:lineRule="auto" w:line="240" w:before="0" w:after="0"/>
              <w:rPr>
                <w:sz w:val="22"/>
              </w:rPr>
            </w:pPr>
            <w:r>
              <w:rPr>
                <w:sz w:val="22"/>
              </w:rPr>
            </w:r>
          </w:p>
        </w:tc>
      </w:tr>
      <w:tr>
        <w:trPr/>
        <w:tc>
          <w:tcPr>
            <w:tcW w:w="2178" w:type="dxa"/>
            <w:tcBorders/>
          </w:tcPr>
          <w:p>
            <w:pPr>
              <w:pStyle w:val="NumContinue"/>
              <w:snapToGrid w:val="false"/>
              <w:spacing w:lineRule="auto" w:line="240" w:before="0" w:after="0"/>
              <w:rPr>
                <w:sz w:val="22"/>
              </w:rPr>
            </w:pPr>
            <w:r>
              <w:rPr>
                <w:sz w:val="22"/>
              </w:rPr>
            </w:r>
          </w:p>
        </w:tc>
        <w:tc>
          <w:tcPr>
            <w:tcW w:w="7398" w:type="dxa"/>
            <w:tcBorders/>
          </w:tcPr>
          <w:p>
            <w:pPr>
              <w:pStyle w:val="NumContinue"/>
              <w:spacing w:lineRule="auto" w:line="240" w:before="0" w:after="0"/>
              <w:jc w:val="center"/>
              <w:rPr>
                <w:sz w:val="22"/>
              </w:rPr>
            </w:pPr>
            <w:r>
              <w:rPr>
                <w:b/>
                <w:sz w:val="22"/>
              </w:rPr>
              <w:t>AECO “C” MONTHLY INDEX (U.S.)</w:t>
            </w:r>
          </w:p>
          <w:p>
            <w:pPr>
              <w:pStyle w:val="NumContinue"/>
              <w:spacing w:lineRule="auto" w:line="240" w:before="0" w:after="0"/>
              <w:jc w:val="center"/>
              <w:rPr>
                <w:sz w:val="22"/>
              </w:rPr>
            </w:pPr>
            <w:r>
              <w:rPr>
                <w:sz w:val="22"/>
              </w:rPr>
            </w:r>
          </w:p>
        </w:tc>
      </w:tr>
      <w:tr>
        <w:trPr/>
        <w:tc>
          <w:tcPr>
            <w:tcW w:w="2178" w:type="dxa"/>
            <w:tcBorders/>
          </w:tcPr>
          <w:p>
            <w:pPr>
              <w:pStyle w:val="NumContinue"/>
              <w:spacing w:lineRule="auto" w:line="240" w:before="0" w:after="0"/>
              <w:rPr>
                <w:sz w:val="22"/>
              </w:rPr>
            </w:pPr>
            <w:r>
              <w:rPr>
                <w:sz w:val="22"/>
              </w:rPr>
              <w:t>CONTRACT PRICE:</w:t>
            </w:r>
          </w:p>
        </w:tc>
        <w:tc>
          <w:tcPr>
            <w:tcW w:w="7398" w:type="dxa"/>
            <w:tcBorders/>
          </w:tcPr>
          <w:p>
            <w:pPr>
              <w:pStyle w:val="NumContinue"/>
              <w:spacing w:lineRule="auto" w:line="240" w:before="0" w:after="0"/>
              <w:rPr/>
            </w:pPr>
            <w:r>
              <w:rPr>
                <w:sz w:val="22"/>
              </w:rPr>
              <w:t xml:space="preserve">The Contract Price, for each Delivery Month, shall be a price in U.S. dollars per MMBtu equal to the AECO “C” Monthly Index, </w:t>
            </w:r>
            <w:r>
              <w:rPr>
                <w:sz w:val="22"/>
                <w:u w:val="single"/>
              </w:rPr>
              <w:t>plus/ minus</w:t>
            </w:r>
            <w:r>
              <w:rPr>
                <w:sz w:val="22"/>
              </w:rPr>
              <w:t xml:space="preserve"> U.S. $ </w:t>
            </w:r>
            <w:r>
              <w:rPr>
                <w:sz w:val="22"/>
                <w:u w:val="single"/>
              </w:rPr>
              <w:t xml:space="preserve">          </w:t>
            </w:r>
            <w:r>
              <w:rPr>
                <w:sz w:val="22"/>
              </w:rPr>
              <w:t xml:space="preserve"> per MMBtu, where: “AECO “C” Monthly Index” means the price in U.S. dollars per MMBtu published in the table “Monthly Canadian and U.S. Natural Gas Price Summary”, in the </w:t>
            </w:r>
            <w:r>
              <w:rPr>
                <w:i/>
                <w:sz w:val="22"/>
              </w:rPr>
              <w:t>Canadian Gas Price Reporter</w:t>
            </w:r>
            <w:r>
              <w:rPr>
                <w:sz w:val="22"/>
              </w:rPr>
              <w:t>, in the row for “Canadian Domestic Gas Prices: Alberta Spot Price-AECO C/NIT”, for the applicable Delivery Month.</w:t>
            </w:r>
          </w:p>
          <w:p>
            <w:pPr>
              <w:pStyle w:val="NumContinue"/>
              <w:spacing w:lineRule="auto" w:line="240" w:before="0" w:after="0"/>
              <w:rPr>
                <w:sz w:val="22"/>
              </w:rPr>
            </w:pPr>
            <w:r>
              <w:rPr>
                <w:sz w:val="22"/>
              </w:rPr>
            </w:r>
          </w:p>
          <w:p>
            <w:pPr>
              <w:pStyle w:val="NumContinue"/>
              <w:spacing w:lineRule="auto" w:line="240" w:before="0" w:after="0"/>
              <w:rPr>
                <w:sz w:val="22"/>
              </w:rPr>
            </w:pPr>
            <w:r>
              <w:rPr>
                <w:sz w:val="22"/>
              </w:rPr>
              <w:t>The Contract Price shall be payable in U.S. dollars</w:t>
            </w:r>
          </w:p>
          <w:p>
            <w:pPr>
              <w:pStyle w:val="NumContinue"/>
              <w:spacing w:lineRule="auto" w:line="240" w:before="0" w:after="0"/>
              <w:rPr>
                <w:sz w:val="22"/>
              </w:rPr>
            </w:pPr>
            <w:r>
              <w:rPr>
                <w:sz w:val="22"/>
              </w:rPr>
            </w:r>
          </w:p>
        </w:tc>
      </w:tr>
      <w:tr>
        <w:trPr/>
        <w:tc>
          <w:tcPr>
            <w:tcW w:w="2178" w:type="dxa"/>
            <w:tcBorders/>
          </w:tcPr>
          <w:p>
            <w:pPr>
              <w:pStyle w:val="NumContinue"/>
              <w:snapToGrid w:val="false"/>
              <w:spacing w:lineRule="auto" w:line="240" w:before="0" w:after="0"/>
              <w:rPr>
                <w:sz w:val="22"/>
              </w:rPr>
            </w:pPr>
            <w:r>
              <w:rPr>
                <w:sz w:val="22"/>
              </w:rPr>
            </w:r>
          </w:p>
        </w:tc>
        <w:tc>
          <w:tcPr>
            <w:tcW w:w="7398" w:type="dxa"/>
            <w:tcBorders/>
          </w:tcPr>
          <w:p>
            <w:pPr>
              <w:pStyle w:val="NumContinue"/>
              <w:snapToGrid w:val="false"/>
              <w:spacing w:lineRule="auto" w:line="240" w:before="0" w:after="0"/>
              <w:jc w:val="center"/>
              <w:rPr>
                <w:b/>
                <w:sz w:val="22"/>
              </w:rPr>
            </w:pPr>
            <w:r>
              <w:rPr>
                <w:b/>
                <w:sz w:val="22"/>
              </w:rPr>
            </w:r>
          </w:p>
          <w:p>
            <w:pPr>
              <w:pStyle w:val="NumContinue"/>
              <w:spacing w:lineRule="auto" w:line="240" w:before="0" w:after="0"/>
              <w:jc w:val="center"/>
              <w:rPr>
                <w:sz w:val="22"/>
              </w:rPr>
            </w:pPr>
            <w:r>
              <w:rPr>
                <w:b/>
                <w:sz w:val="22"/>
              </w:rPr>
              <w:t>AECO “C” MONTHLY INDEX WITH A “FLOOR”</w:t>
            </w:r>
          </w:p>
          <w:p>
            <w:pPr>
              <w:pStyle w:val="NumContinue"/>
              <w:spacing w:lineRule="auto" w:line="240" w:before="0" w:after="0"/>
              <w:jc w:val="center"/>
              <w:rPr>
                <w:sz w:val="22"/>
              </w:rPr>
            </w:pPr>
            <w:r>
              <w:rPr>
                <w:sz w:val="22"/>
              </w:rPr>
            </w:r>
          </w:p>
        </w:tc>
      </w:tr>
      <w:tr>
        <w:trPr/>
        <w:tc>
          <w:tcPr>
            <w:tcW w:w="2178" w:type="dxa"/>
            <w:tcBorders/>
          </w:tcPr>
          <w:p>
            <w:pPr>
              <w:pStyle w:val="NumContinue"/>
              <w:spacing w:lineRule="auto" w:line="240" w:before="0" w:after="0"/>
              <w:rPr>
                <w:sz w:val="22"/>
              </w:rPr>
            </w:pPr>
            <w:r>
              <w:rPr>
                <w:sz w:val="22"/>
              </w:rPr>
              <w:t>CONTRACT PRICE:</w:t>
            </w:r>
          </w:p>
        </w:tc>
        <w:tc>
          <w:tcPr>
            <w:tcW w:w="7398" w:type="dxa"/>
            <w:tcBorders/>
          </w:tcPr>
          <w:p>
            <w:pPr>
              <w:pStyle w:val="NumContinue"/>
              <w:spacing w:lineRule="auto" w:line="240" w:before="0" w:after="0"/>
              <w:rPr/>
            </w:pPr>
            <w:r>
              <w:rPr>
                <w:sz w:val="22"/>
              </w:rPr>
              <w:t xml:space="preserve">The Contract Price, for each Delivery Month, shall be a price in Canadian dollars per GJ equal to the AECO “C” Monthly Index, </w:t>
            </w:r>
            <w:r>
              <w:rPr>
                <w:sz w:val="22"/>
                <w:u w:val="single"/>
              </w:rPr>
              <w:t>minus/plus</w:t>
            </w:r>
            <w:r>
              <w:rPr>
                <w:sz w:val="22"/>
              </w:rPr>
              <w:t xml:space="preserve"> Cdn. $</w:t>
            </w:r>
            <w:r>
              <w:rPr>
                <w:sz w:val="22"/>
                <w:u w:val="single"/>
              </w:rPr>
              <w:t xml:space="preserve">         </w:t>
            </w:r>
            <w:r>
              <w:rPr>
                <w:sz w:val="22"/>
              </w:rPr>
              <w:t xml:space="preserve"> per GJ, where: “AECO “C” Monthly Index” means the price in Canadian dollars per GJ in the “Avg” column published in the table “Canadian Natural Gas Supply Prices”, in the </w:t>
            </w:r>
            <w:r>
              <w:rPr>
                <w:i/>
                <w:sz w:val="22"/>
              </w:rPr>
              <w:t>Canadian Gas Price Reporter</w:t>
            </w:r>
            <w:r>
              <w:rPr>
                <w:sz w:val="22"/>
              </w:rPr>
              <w:t>, in the row for Alberta: AECO “C” &amp; NIT One-Month Spot”, for the applicable Delivery Month; provided however, for any Delivery Month in which the AECO “C” Monthly Index is less than Cdn. $</w:t>
            </w:r>
            <w:r>
              <w:rPr>
                <w:sz w:val="22"/>
                <w:u w:val="single"/>
              </w:rPr>
              <w:t>(floor)</w:t>
            </w:r>
            <w:r>
              <w:rPr>
                <w:sz w:val="22"/>
              </w:rPr>
              <w:t xml:space="preserve"> per GJ, the Contract Price shall be Cdn. $(</w:t>
            </w:r>
            <w:r>
              <w:rPr>
                <w:sz w:val="22"/>
                <w:u w:val="single"/>
              </w:rPr>
              <w:t>floor)</w:t>
            </w:r>
            <w:r>
              <w:rPr>
                <w:sz w:val="22"/>
              </w:rPr>
              <w:t xml:space="preserve"> per GJ, </w:t>
            </w:r>
            <w:r>
              <w:rPr>
                <w:sz w:val="22"/>
                <w:u w:val="single"/>
              </w:rPr>
              <w:t>minus/plus</w:t>
            </w:r>
            <w:r>
              <w:rPr>
                <w:sz w:val="22"/>
              </w:rPr>
              <w:t xml:space="preserve"> Cdn.   $</w:t>
            </w:r>
            <w:r>
              <w:rPr>
                <w:sz w:val="22"/>
                <w:u w:val="single"/>
              </w:rPr>
              <w:t xml:space="preserve">          </w:t>
            </w:r>
            <w:r>
              <w:rPr>
                <w:sz w:val="22"/>
              </w:rPr>
              <w:t xml:space="preserve"> per GJ.</w:t>
            </w:r>
          </w:p>
          <w:p>
            <w:pPr>
              <w:pStyle w:val="NumContinue"/>
              <w:spacing w:lineRule="auto" w:line="240" w:before="0" w:after="0"/>
              <w:rPr>
                <w:sz w:val="22"/>
              </w:rPr>
            </w:pPr>
            <w:r>
              <w:rPr>
                <w:sz w:val="22"/>
              </w:rPr>
            </w:r>
          </w:p>
        </w:tc>
      </w:tr>
      <w:tr>
        <w:trPr/>
        <w:tc>
          <w:tcPr>
            <w:tcW w:w="2178" w:type="dxa"/>
            <w:tcBorders/>
          </w:tcPr>
          <w:p>
            <w:pPr>
              <w:pStyle w:val="NumContinue"/>
              <w:snapToGrid w:val="false"/>
              <w:spacing w:lineRule="auto" w:line="240" w:before="0" w:after="0"/>
              <w:rPr>
                <w:sz w:val="22"/>
              </w:rPr>
            </w:pPr>
            <w:r>
              <w:rPr>
                <w:sz w:val="22"/>
              </w:rPr>
            </w:r>
          </w:p>
          <w:p>
            <w:pPr>
              <w:pStyle w:val="NumContinue"/>
              <w:spacing w:lineRule="auto" w:line="240" w:before="0" w:after="0"/>
              <w:rPr>
                <w:sz w:val="22"/>
              </w:rPr>
            </w:pPr>
            <w:r>
              <w:rPr>
                <w:sz w:val="22"/>
              </w:rPr>
            </w:r>
          </w:p>
        </w:tc>
        <w:tc>
          <w:tcPr>
            <w:tcW w:w="7398" w:type="dxa"/>
            <w:tcBorders/>
          </w:tcPr>
          <w:p>
            <w:pPr>
              <w:pStyle w:val="NumContinue"/>
              <w:snapToGrid w:val="false"/>
              <w:spacing w:lineRule="auto" w:line="240" w:before="0" w:after="0"/>
              <w:jc w:val="center"/>
              <w:rPr>
                <w:b/>
                <w:sz w:val="22"/>
              </w:rPr>
            </w:pPr>
            <w:r>
              <w:rPr>
                <w:b/>
                <w:sz w:val="22"/>
              </w:rPr>
            </w:r>
          </w:p>
          <w:p>
            <w:pPr>
              <w:pStyle w:val="NumContinue"/>
              <w:spacing w:lineRule="auto" w:line="240" w:before="0" w:after="0"/>
              <w:jc w:val="center"/>
              <w:rPr>
                <w:sz w:val="22"/>
              </w:rPr>
            </w:pPr>
            <w:r>
              <w:rPr>
                <w:b/>
                <w:sz w:val="22"/>
              </w:rPr>
              <w:t>AECO “C” MONTHLY INDEX WITH A “CAP”</w:t>
            </w:r>
          </w:p>
          <w:p>
            <w:pPr>
              <w:pStyle w:val="NumContinue"/>
              <w:spacing w:lineRule="auto" w:line="240" w:before="0" w:after="0"/>
              <w:jc w:val="center"/>
              <w:rPr>
                <w:sz w:val="22"/>
              </w:rPr>
            </w:pPr>
            <w:r>
              <w:rPr>
                <w:sz w:val="22"/>
              </w:rPr>
            </w:r>
          </w:p>
        </w:tc>
      </w:tr>
      <w:tr>
        <w:trPr/>
        <w:tc>
          <w:tcPr>
            <w:tcW w:w="2178" w:type="dxa"/>
            <w:tcBorders/>
          </w:tcPr>
          <w:p>
            <w:pPr>
              <w:pStyle w:val="NumContinue"/>
              <w:spacing w:lineRule="auto" w:line="240" w:before="0" w:after="0"/>
              <w:rPr>
                <w:sz w:val="22"/>
              </w:rPr>
            </w:pPr>
            <w:r>
              <w:rPr>
                <w:sz w:val="22"/>
              </w:rPr>
              <w:t>CONTRACT PRICE:</w:t>
            </w:r>
          </w:p>
        </w:tc>
        <w:tc>
          <w:tcPr>
            <w:tcW w:w="7398" w:type="dxa"/>
            <w:tcBorders/>
          </w:tcPr>
          <w:p>
            <w:pPr>
              <w:pStyle w:val="NumContinue"/>
              <w:spacing w:lineRule="auto" w:line="240" w:before="0" w:after="0"/>
              <w:rPr/>
            </w:pPr>
            <w:r>
              <w:rPr>
                <w:sz w:val="22"/>
              </w:rPr>
              <w:t xml:space="preserve">The Contract Price, for each Delivery Month, shall be a price in Canadian dollars per GJ equal to the AECO “C” Monthly Index, </w:t>
            </w:r>
            <w:r>
              <w:rPr>
                <w:sz w:val="22"/>
                <w:u w:val="single"/>
              </w:rPr>
              <w:t>minus/plus</w:t>
            </w:r>
            <w:r>
              <w:rPr>
                <w:sz w:val="22"/>
              </w:rPr>
              <w:t xml:space="preserve"> Cdn. $</w:t>
            </w:r>
            <w:r>
              <w:rPr>
                <w:sz w:val="22"/>
                <w:u w:val="single"/>
              </w:rPr>
              <w:t xml:space="preserve">        </w:t>
            </w:r>
            <w:r>
              <w:rPr>
                <w:sz w:val="22"/>
              </w:rPr>
              <w:t xml:space="preserve"> per GJ in the “Avg” column published in the table “Canadian Natural Gas Supply Prices”, in the </w:t>
            </w:r>
            <w:r>
              <w:rPr>
                <w:i/>
                <w:sz w:val="22"/>
              </w:rPr>
              <w:t>Canadian Gas Price Reporter</w:t>
            </w:r>
            <w:r>
              <w:rPr>
                <w:sz w:val="22"/>
              </w:rPr>
              <w:t>, in the row for “Alberta: AECO “C” &amp; NIT One-Month Spot”, for the applicable Delivery Month; provided however, for any Delivery Month in which the AECO “C” Monthly Index is greater than Cdn. $</w:t>
            </w:r>
            <w:r>
              <w:rPr>
                <w:sz w:val="22"/>
                <w:u w:val="single"/>
              </w:rPr>
              <w:t>(cap)</w:t>
            </w:r>
            <w:r>
              <w:rPr>
                <w:sz w:val="22"/>
              </w:rPr>
              <w:t xml:space="preserve"> per GJ, the Contract Price shall be Cdn. $</w:t>
            </w:r>
            <w:r>
              <w:rPr>
                <w:sz w:val="22"/>
                <w:u w:val="single"/>
              </w:rPr>
              <w:t>(cap)</w:t>
            </w:r>
            <w:r>
              <w:rPr>
                <w:sz w:val="22"/>
              </w:rPr>
              <w:t xml:space="preserve"> per GJ, </w:t>
            </w:r>
            <w:r>
              <w:rPr>
                <w:sz w:val="22"/>
                <w:u w:val="single"/>
              </w:rPr>
              <w:t>minus/plus</w:t>
            </w:r>
            <w:r>
              <w:rPr>
                <w:sz w:val="22"/>
              </w:rPr>
              <w:t xml:space="preserve"> Cdn.   $</w:t>
            </w:r>
            <w:r>
              <w:rPr>
                <w:sz w:val="22"/>
                <w:u w:val="single"/>
              </w:rPr>
              <w:t xml:space="preserve">         </w:t>
            </w:r>
            <w:r>
              <w:rPr>
                <w:sz w:val="22"/>
              </w:rPr>
              <w:t xml:space="preserve"> per GJ.</w:t>
            </w:r>
            <w:r>
              <w:rPr>
                <w:b/>
                <w:sz w:val="22"/>
              </w:rPr>
              <w:t xml:space="preserve"> </w:t>
            </w:r>
          </w:p>
        </w:tc>
      </w:tr>
    </w:tbl>
    <w:p>
      <w:pPr>
        <w:pStyle w:val="head3"/>
        <w:rPr/>
      </w:pPr>
      <w:r>
        <w:rPr/>
      </w:r>
    </w:p>
    <w:p>
      <w:pPr>
        <w:pStyle w:val="head3"/>
        <w:rPr/>
      </w:pPr>
      <w:r>
        <w:rPr/>
        <w:t>NGX Trading System Contract</w:t>
      </w:r>
    </w:p>
    <w:p>
      <w:pPr>
        <w:pStyle w:val="Standard2L1"/>
        <w:numPr>
          <w:ilvl w:val="0"/>
          <w:numId w:val="9"/>
        </w:numPr>
        <w:ind w:hanging="0" w:start="0"/>
        <w:rPr/>
      </w:pPr>
      <w:r>
        <w:rPr/>
        <w:t>Prior to September 28, 2000, NGX owned and operated an electronic trading system and exchange for natural gas physical forward contracts (the “NGX Trading System).  With trades transacted on the NGX Trading System, NGX took title to any natural gas traded and customarily obtained a commission in respect of any and all transactions consummated on the NGX Trading System by virtue of the terms and conditions of a standard form agreement agreed to by various Industry Participants as set out below.</w:t>
      </w:r>
    </w:p>
    <w:p>
      <w:pPr>
        <w:pStyle w:val="Standard2L1"/>
        <w:numPr>
          <w:ilvl w:val="0"/>
          <w:numId w:val="9"/>
        </w:numPr>
        <w:ind w:hanging="0" w:start="0"/>
        <w:rPr/>
      </w:pPr>
      <w:r>
        <w:rPr/>
        <w:t xml:space="preserve">Pursuant to a Contracting Party’s Agreement dated June 30, 2000 (the “NGX Trading System Contract”), NGX and Enron Canada entered into an agreement governing the terms and conditions upon which transactions would be consummated using the NGX Trading System.  </w:t>
      </w:r>
    </w:p>
    <w:p>
      <w:pPr>
        <w:pStyle w:val="Standard2L1"/>
        <w:numPr>
          <w:ilvl w:val="0"/>
          <w:numId w:val="9"/>
        </w:numPr>
        <w:ind w:hanging="0" w:start="0"/>
        <w:rPr/>
      </w:pPr>
      <w:r>
        <w:rPr/>
        <w:t xml:space="preserve">The NGX Trading System Contract and transactions conducted thereunder also make reference to, rely upon and calculate payment obligations between the transacting parties based upon the Gas Price Indices and the accepted methodology published in the </w:t>
      </w:r>
      <w:r>
        <w:rPr>
          <w:i/>
        </w:rPr>
        <w:t>Canadian Gas Price Reporter</w:t>
      </w:r>
      <w:r>
        <w:rPr/>
        <w:t xml:space="preserve"> by the incorporation of the definition of “Index Price” which is defined in the NGX Trading System Contract as follows:</w:t>
      </w:r>
    </w:p>
    <w:p>
      <w:pPr>
        <w:pStyle w:val="Quote"/>
        <w:rPr/>
      </w:pPr>
      <w:r>
        <w:rPr/>
        <w:t>“</w:t>
      </w:r>
      <w:r>
        <w:rPr/>
        <w:t>Index Price” – means for gas delivered during the delivery Month for all Indexed Forward Contracts:</w:t>
      </w:r>
    </w:p>
    <w:p>
      <w:pPr>
        <w:pStyle w:val="Quote"/>
        <w:ind w:hanging="720" w:start="1440" w:end="720"/>
        <w:rPr/>
      </w:pPr>
      <w:r>
        <w:rPr/>
        <w:t>i.</w:t>
        <w:tab/>
        <w:t>the average price of intra-Alberta gas bought and sold for the entire delivery Month on the TCPL Alberta System based on agreements made during the Month immediately prior to the delivery Month, as reported by the CGPR (</w:t>
      </w:r>
      <w:r>
        <w:rPr>
          <w:i/>
        </w:rPr>
        <w:t>Canadian Gas Price Reporter</w:t>
      </w:r>
      <w:r>
        <w:rPr/>
        <w:t>) for the entire delivery Month in the “Canadian Natural Gas Supply Price” table, in the column marked “Avg” containing the delivery Month, on the line “AECO “C” N.I.T. One-Month Spot, or any words or phrases used in substitution therefore; or</w:t>
      </w:r>
    </w:p>
    <w:p>
      <w:pPr>
        <w:pStyle w:val="Quote"/>
        <w:ind w:hanging="720" w:start="1440" w:end="720"/>
        <w:rPr/>
      </w:pPr>
      <w:r>
        <w:rPr/>
        <w:t>ii.</w:t>
        <w:tab/>
        <w:t>in the event that CGPR does not report the required information to determine the Index Price hereunder, or the Index Price is otherwise not determinable, the price will be the price determined by Exchange with reference to the most comparable reported prices in respect of intra-Alberta gas bought and sold for the entire delivery Month on the TCPL Alberta System based on agreements made during the Month immediately prior to the delivery Month.</w:t>
      </w:r>
    </w:p>
    <w:p>
      <w:pPr>
        <w:pStyle w:val="Standard2L1"/>
        <w:numPr>
          <w:ilvl w:val="0"/>
          <w:numId w:val="9"/>
        </w:numPr>
        <w:ind w:hanging="0" w:start="0"/>
        <w:rPr/>
      </w:pPr>
      <w:bookmarkStart w:id="4" w:name="_Ref500135199"/>
      <w:r>
        <w:rPr/>
        <w:t>Enron Canada states that pursuant to the NGX Trading System Contract, NGX expressly or impliedly agreed and otherwise represented that:</w:t>
      </w:r>
      <w:bookmarkEnd w:id="4"/>
    </w:p>
    <w:p>
      <w:pPr>
        <w:pStyle w:val="Standard2L2"/>
        <w:numPr>
          <w:ilvl w:val="1"/>
          <w:numId w:val="9"/>
        </w:numPr>
        <w:ind w:hanging="0" w:start="0"/>
        <w:rPr/>
      </w:pPr>
      <w:r>
        <w:rPr/>
        <w:t xml:space="preserve">NGX would not directly or indirectly undertake or engage in any actions or conduct that would affect the Index Price in any manner, including, </w:t>
      </w:r>
      <w:r>
        <w:rPr>
          <w:i/>
        </w:rPr>
        <w:t>inter alia</w:t>
      </w:r>
      <w:r>
        <w:rPr/>
        <w:t>, the neutrality, reliability or consistency of the same;</w:t>
      </w:r>
    </w:p>
    <w:p>
      <w:pPr>
        <w:pStyle w:val="Standard2L2"/>
        <w:numPr>
          <w:ilvl w:val="1"/>
          <w:numId w:val="9"/>
        </w:numPr>
        <w:ind w:hanging="0" w:start="0"/>
        <w:rPr/>
      </w:pPr>
      <w:r>
        <w:rPr/>
        <w:t>NGX would obtain the consent of Enron Canada prior to directly or indirectly engaging in any actions or conduct resulting in changes or modifications to the Index Price;</w:t>
      </w:r>
    </w:p>
    <w:p>
      <w:pPr>
        <w:pStyle w:val="Standard2L2"/>
        <w:numPr>
          <w:ilvl w:val="1"/>
          <w:numId w:val="9"/>
        </w:numPr>
        <w:ind w:hanging="0" w:start="0"/>
        <w:rPr/>
      </w:pPr>
      <w:r>
        <w:rPr/>
        <w:t>NGX would not enter into any transactions or agreements with any other party which had the affect of changing the methodology of calculating the Index Price or detract or otherwise negate from</w:t>
      </w:r>
      <w:r>
        <w:rPr>
          <w:i/>
        </w:rPr>
        <w:t>, inter alia</w:t>
      </w:r>
      <w:r>
        <w:rPr/>
        <w:t>, the neutrality, reliability or consistency of the Index Price;  and</w:t>
      </w:r>
    </w:p>
    <w:p>
      <w:pPr>
        <w:pStyle w:val="Standard2L2"/>
        <w:numPr>
          <w:ilvl w:val="1"/>
          <w:numId w:val="9"/>
        </w:numPr>
        <w:ind w:hanging="0" w:start="0"/>
        <w:rPr/>
      </w:pPr>
      <w:r>
        <w:rPr/>
        <w:t>to the extent that the methodology of the Index Price was proposed to be substituted, modified or otherwise varied, Enron Canada would be given reasonable notice of any such proposal.</w:t>
      </w:r>
    </w:p>
    <w:p>
      <w:pPr>
        <w:pStyle w:val="Standard2L1"/>
        <w:numPr>
          <w:ilvl w:val="0"/>
          <w:numId w:val="9"/>
        </w:numPr>
        <w:ind w:hanging="0" w:start="0"/>
        <w:rPr/>
      </w:pPr>
      <w:bookmarkStart w:id="5" w:name="_Ref500135627"/>
      <w:r>
        <w:rPr/>
        <w:t>Enron Canada further states that the relationship between NGX and Enron Canada, was one of trust, good faith and confidence requiring NGX to act in good faith in performing its obligations under the NGX Trading System Contract.</w:t>
      </w:r>
      <w:bookmarkEnd w:id="5"/>
    </w:p>
    <w:p>
      <w:pPr>
        <w:pStyle w:val="head3"/>
        <w:rPr/>
      </w:pPr>
      <w:r>
        <w:rPr/>
        <w:t>Purchase of Gas Price Indices from Canadian Enerdata by NGX</w:t>
      </w:r>
    </w:p>
    <w:p>
      <w:pPr>
        <w:pStyle w:val="Standard2L1"/>
        <w:numPr>
          <w:ilvl w:val="0"/>
          <w:numId w:val="9"/>
        </w:numPr>
        <w:ind w:hanging="0" w:start="0"/>
        <w:rPr/>
      </w:pPr>
      <w:r>
        <w:rPr/>
        <w:t xml:space="preserve">Prior to on or about September 28, 2000, NGX and Canadian Enerdata had no affiliation or association whatsoever, however, both had lost substantial revenue due to, </w:t>
      </w:r>
      <w:r>
        <w:rPr>
          <w:i/>
        </w:rPr>
        <w:t>inter alia</w:t>
      </w:r>
      <w:r>
        <w:rPr/>
        <w:t>, certain market forces.</w:t>
      </w:r>
    </w:p>
    <w:p>
      <w:pPr>
        <w:pStyle w:val="Standard2L1"/>
        <w:numPr>
          <w:ilvl w:val="0"/>
          <w:numId w:val="9"/>
        </w:numPr>
        <w:ind w:hanging="0" w:start="0"/>
        <w:rPr/>
      </w:pPr>
      <w:r>
        <w:rPr/>
        <w:t xml:space="preserve">Pursuant to an agreement made on or about September 28, 2000 (the “NGX/Canadian Enerdata Transaction”) between NGX and Canadian Enerdata, NGX purchased the Gas Price Indices from Canadian Enerdata pursuant to which it was agreed, so far as is known to Enron Canada, </w:t>
      </w:r>
      <w:r>
        <w:rPr>
          <w:i/>
        </w:rPr>
        <w:t>inter alia</w:t>
      </w:r>
      <w:r>
        <w:rPr/>
        <w:t>, that:</w:t>
      </w:r>
    </w:p>
    <w:p>
      <w:pPr>
        <w:pStyle w:val="Standard2L2"/>
        <w:numPr>
          <w:ilvl w:val="1"/>
          <w:numId w:val="9"/>
        </w:numPr>
        <w:ind w:hanging="0" w:start="0"/>
        <w:rPr/>
      </w:pPr>
      <w:r>
        <w:rPr/>
        <w:t>NGX would compile and otherwise generate the Gas Price Indices;</w:t>
      </w:r>
    </w:p>
    <w:p>
      <w:pPr>
        <w:pStyle w:val="Standard2L2"/>
        <w:numPr>
          <w:ilvl w:val="1"/>
          <w:numId w:val="9"/>
        </w:numPr>
        <w:ind w:hanging="0" w:start="0"/>
        <w:rPr/>
      </w:pPr>
      <w:r>
        <w:rPr/>
        <w:t>Canadian Enerdata would retain the exclusive rights to the distribution and publication of the Gas Price Indices;</w:t>
      </w:r>
    </w:p>
    <w:p>
      <w:pPr>
        <w:pStyle w:val="Standard2L2"/>
        <w:numPr>
          <w:ilvl w:val="1"/>
          <w:numId w:val="9"/>
        </w:numPr>
        <w:ind w:hanging="0" w:start="0"/>
        <w:rPr/>
      </w:pPr>
      <w:r>
        <w:rPr/>
        <w:t>the methology for calculation of the Gas Price Indices would be based upon the volume-weighted average of only those trades consummated on the NGX Trading System (the “New Methodology”);</w:t>
      </w:r>
    </w:p>
    <w:p>
      <w:pPr>
        <w:pStyle w:val="Standard2L2"/>
        <w:numPr>
          <w:ilvl w:val="1"/>
          <w:numId w:val="9"/>
        </w:numPr>
        <w:ind w:hanging="0" w:start="0"/>
        <w:rPr/>
      </w:pPr>
      <w:r>
        <w:rPr/>
        <w:t>the New Methodology for the calculation of the Gas Price Indices would be in effect for the establishment of the October Daily Spot Price Indices and November AECO “C” &amp; N.I.T. One-Month Spot Price and November AECO “C” &amp; N.I.T. Bid-Week Indices commencing October 1, 2000;</w:t>
      </w:r>
    </w:p>
    <w:p>
      <w:pPr>
        <w:pStyle w:val="Standard2L2"/>
        <w:numPr>
          <w:ilvl w:val="1"/>
          <w:numId w:val="9"/>
        </w:numPr>
        <w:ind w:hanging="0" w:start="0"/>
        <w:rPr/>
      </w:pPr>
      <w:r>
        <w:rPr/>
        <w:t>NGX would indemnify Canadian Enerdata and Zarzeczny from any and all actions in connection with the NGX/Canadian Enerdata Transaction;  and</w:t>
      </w:r>
    </w:p>
    <w:p>
      <w:pPr>
        <w:pStyle w:val="Standard2L2"/>
        <w:numPr>
          <w:ilvl w:val="1"/>
          <w:numId w:val="9"/>
        </w:numPr>
        <w:ind w:hanging="0" w:start="0"/>
        <w:rPr/>
      </w:pPr>
      <w:r>
        <w:rPr/>
        <w:t xml:space="preserve">Canadian Enerdata was prohibited from selling its exclusive rights to the distribution and publication of the Gas Price Indices to, </w:t>
      </w:r>
      <w:r>
        <w:rPr>
          <w:i/>
        </w:rPr>
        <w:t>inter alia</w:t>
      </w:r>
      <w:r>
        <w:rPr/>
        <w:t>, Enron Canada or any of its affiliates.</w:t>
      </w:r>
    </w:p>
    <w:p>
      <w:pPr>
        <w:pStyle w:val="head3"/>
        <w:rPr/>
      </w:pPr>
      <w:r>
        <w:rPr/>
        <w:t>Notification of NGX/Canadian Enerdata Transaction</w:t>
      </w:r>
    </w:p>
    <w:p>
      <w:pPr>
        <w:pStyle w:val="Standard2L1"/>
        <w:numPr>
          <w:ilvl w:val="0"/>
          <w:numId w:val="9"/>
        </w:numPr>
        <w:ind w:hanging="0" w:start="0"/>
        <w:rPr/>
      </w:pPr>
      <w:r>
        <w:rPr/>
        <w:t>Pursuant to correspondence dated September 27 and 28, 2000, NGX gave only 2 business days notice of the existence of NGX/Canadian Enerdata Transaction to Enron Canada and provided some particulars including the following:</w:t>
      </w:r>
    </w:p>
    <w:p>
      <w:pPr>
        <w:pStyle w:val="Standard2L2"/>
        <w:numPr>
          <w:ilvl w:val="1"/>
          <w:numId w:val="9"/>
        </w:numPr>
        <w:ind w:hanging="0" w:start="0"/>
        <w:rPr/>
      </w:pPr>
      <w:r>
        <w:rPr/>
        <w:t>“</w:t>
      </w:r>
      <w:r>
        <w:rPr/>
        <w:t>. . .NGX Canada Inc. announced today that it has purchased the Alberta Daily Spot, One Month Spot Price and Bid Week Price Indices from Canadian Enerdata Limited (CEL)”;</w:t>
      </w:r>
    </w:p>
    <w:p>
      <w:pPr>
        <w:pStyle w:val="Standard2L2"/>
        <w:numPr>
          <w:ilvl w:val="1"/>
          <w:numId w:val="9"/>
        </w:numPr>
        <w:ind w:hanging="0" w:start="0"/>
        <w:rPr/>
      </w:pPr>
      <w:r>
        <w:rPr/>
        <w:t>“</w:t>
      </w:r>
      <w:r>
        <w:rPr/>
        <w:t xml:space="preserve">With this agreement, Natural Gas Exchange (NGX) will generate the price indices and provide them to CEL’s publication, </w:t>
      </w:r>
      <w:r>
        <w:rPr>
          <w:i/>
        </w:rPr>
        <w:t>Canadian Gas Price Reporter</w:t>
      </w:r>
      <w:r>
        <w:rPr/>
        <w:t>”;</w:t>
      </w:r>
    </w:p>
    <w:p>
      <w:pPr>
        <w:pStyle w:val="Standard2L2"/>
        <w:numPr>
          <w:ilvl w:val="1"/>
          <w:numId w:val="9"/>
        </w:numPr>
        <w:ind w:hanging="0" w:start="0"/>
        <w:rPr/>
      </w:pPr>
      <w:r>
        <w:rPr/>
        <w:t>“</w:t>
      </w:r>
      <w:r>
        <w:rPr/>
        <w:t xml:space="preserve">The traditional survey will no longer exist for the establishment of these indices.  In summary, these indices will be comprised only of the trades consummated on NGX.  . . .CEL and </w:t>
      </w:r>
      <w:r>
        <w:rPr>
          <w:i/>
        </w:rPr>
        <w:t>Canadian Gas Price Reporter</w:t>
      </w:r>
      <w:r>
        <w:rPr/>
        <w:t xml:space="preserve"> will retain the exclusive rights to the distribution and publication of these prices”;  and</w:t>
      </w:r>
    </w:p>
    <w:p>
      <w:pPr>
        <w:pStyle w:val="Standard2L2"/>
        <w:numPr>
          <w:ilvl w:val="1"/>
          <w:numId w:val="9"/>
        </w:numPr>
        <w:ind w:hanging="0" w:start="0"/>
        <w:rPr/>
      </w:pPr>
      <w:r>
        <w:rPr/>
        <w:t>“</w:t>
      </w:r>
      <w:r>
        <w:rPr/>
        <w:t>This new methodology will be in effect for the establishment of the October Daily Spot Price Indices and November AECO “C” &amp; N.I.T. One Month Spot Price and November AECO “C” &amp; N.I.T. Bid Week Indices which begin trading on October 1, 2000”.</w:t>
      </w:r>
    </w:p>
    <w:p>
      <w:pPr>
        <w:pStyle w:val="head3"/>
        <w:rPr/>
      </w:pPr>
      <w:r>
        <w:rPr/>
        <w:t>Creation of Price Risk/Volatility</w:t>
      </w:r>
    </w:p>
    <w:p>
      <w:pPr>
        <w:pStyle w:val="Standard2L1"/>
        <w:numPr>
          <w:ilvl w:val="0"/>
          <w:numId w:val="9"/>
        </w:numPr>
        <w:ind w:hanging="0" w:start="0"/>
        <w:rPr/>
      </w:pPr>
      <w:r>
        <w:rPr/>
        <w:t xml:space="preserve">Enron Canada further states, and the facts are, that, </w:t>
      </w:r>
      <w:r>
        <w:rPr>
          <w:i/>
        </w:rPr>
        <w:t>inter alia</w:t>
      </w:r>
      <w:r>
        <w:rPr/>
        <w:t>, the neutrality, reliability and consistency of the Gas Price Indices were negatively affected as a result of the NGX/Canadian Enerdata Transaction, some particulars of which include the following:</w:t>
      </w:r>
    </w:p>
    <w:p>
      <w:pPr>
        <w:pStyle w:val="Standard2L2"/>
        <w:numPr>
          <w:ilvl w:val="1"/>
          <w:numId w:val="9"/>
        </w:numPr>
        <w:ind w:hanging="0" w:start="0"/>
        <w:rPr/>
      </w:pPr>
      <w:r>
        <w:rPr/>
        <w:t xml:space="preserve">non-neutrality – the natural gas indices are no longer calculated by an independent and neutral party by calculating the volume weighted average of source data extracted from a traditional and comprehensive survey of participants within the physical and financial natural gas trading industry but rather, NGX now controls and otherwise generates the Gas Price Indices based upon a far more restricted basis of compiling source data based only on those trades consummated on the NGX Trading System.  Accordingly, the effect of the New Methodology is to coerce industry participants to transact through the NGX Trading System in order to, </w:t>
      </w:r>
      <w:r>
        <w:rPr>
          <w:i/>
        </w:rPr>
        <w:t>inter alia</w:t>
      </w:r>
      <w:r>
        <w:rPr/>
        <w:t>, manage the price risk (by having to increase the quantum of transactions composing the indices to increase the reliability of the same) deliberately created by the NGX/Canadian Enerdata Transaction to the economic benefit of the Defendants;</w:t>
      </w:r>
    </w:p>
    <w:p>
      <w:pPr>
        <w:pStyle w:val="Standard2L2"/>
        <w:numPr>
          <w:ilvl w:val="1"/>
          <w:numId w:val="9"/>
        </w:numPr>
        <w:ind w:hanging="0" w:start="0"/>
        <w:rPr/>
      </w:pPr>
      <w:r>
        <w:rPr/>
        <w:t>non-reliability – given the intentional and deliberate methodology employed by the Defendants in calculating the Gas Price Indices which implements a more restrictive and less representative methodology which excludes market information, the Gas Price Indices are not reliable;  and</w:t>
      </w:r>
    </w:p>
    <w:p>
      <w:pPr>
        <w:pStyle w:val="Standard2L2"/>
        <w:numPr>
          <w:ilvl w:val="1"/>
          <w:numId w:val="9"/>
        </w:numPr>
        <w:ind w:hanging="0" w:start="0"/>
        <w:rPr/>
      </w:pPr>
      <w:r>
        <w:rPr/>
        <w:t xml:space="preserve">non-consistency – the New Methodology employed by the NGX Trading System to calculate the Gas Price Indices are more susceptible to manipulation given, </w:t>
      </w:r>
      <w:r>
        <w:rPr>
          <w:i/>
        </w:rPr>
        <w:t>inter alia</w:t>
      </w:r>
      <w:r>
        <w:rPr/>
        <w:t xml:space="preserve">, the far more restricted volumes of natural gas traded on the NGX Trading System and the ability of market Participants, through, </w:t>
      </w:r>
      <w:r>
        <w:rPr>
          <w:i/>
        </w:rPr>
        <w:t>inter alia</w:t>
      </w:r>
      <w:r>
        <w:rPr/>
        <w:t>, volume manipulation, to affect the Gas Price Indices.</w:t>
      </w:r>
    </w:p>
    <w:p>
      <w:pPr>
        <w:pStyle w:val="Standard2L1"/>
        <w:numPr>
          <w:ilvl w:val="0"/>
          <w:numId w:val="9"/>
        </w:numPr>
        <w:ind w:hanging="0" w:start="0"/>
        <w:rPr/>
      </w:pPr>
      <w:r>
        <w:rPr/>
        <w:t xml:space="preserve">Enron Canada further states, and the fact is, that the NGX/Canadian Enerdata Transaction was implemented for the purpose of, </w:t>
      </w:r>
      <w:r>
        <w:rPr>
          <w:i/>
        </w:rPr>
        <w:t>inter alia</w:t>
      </w:r>
      <w:r>
        <w:rPr/>
        <w:t>, increasing revenue to Canadian Enerdata through valuable consideration obtained from the NGX/Canadian Enerdata Transaction and increasing revenue to NGX by forcing increased participation by Industry Participants on the NGX Trading System notwithstanding the negative impact upon the Industry Participants, including Enron Canada, as outlined herein.</w:t>
      </w:r>
    </w:p>
    <w:p>
      <w:pPr>
        <w:pStyle w:val="head3"/>
        <w:rPr/>
      </w:pPr>
      <w:r>
        <w:rPr/>
        <w:t>Unlawful Interference with Economic and Contractual Relations</w:t>
      </w:r>
    </w:p>
    <w:p>
      <w:pPr>
        <w:pStyle w:val="Standard2L1"/>
        <w:numPr>
          <w:ilvl w:val="0"/>
          <w:numId w:val="9"/>
        </w:numPr>
        <w:ind w:hanging="0" w:start="0"/>
        <w:rPr/>
      </w:pPr>
      <w:r>
        <w:rPr/>
        <w:t xml:space="preserve">Enron Canada states, and the facts are, that the Defendants, each clearly aware of the existence or expectancy of the economic and contractual relationships between Industry Participants, including Enron Canada and its counterparties, intentionally sought to prevent, hinder and/or interfere with those economic and contractual relationships, by the terms and structure of the NGX/Canadian Enerdata Transaction, to advance their own economic interests by, </w:t>
      </w:r>
      <w:r>
        <w:rPr>
          <w:i/>
        </w:rPr>
        <w:t>inter alia</w:t>
      </w:r>
      <w:r>
        <w:rPr/>
        <w:t>, changing the methodology applicable to determining the now non-neutral, non-reliable and non-consistent Gas Price Indices.</w:t>
      </w:r>
    </w:p>
    <w:p>
      <w:pPr>
        <w:pStyle w:val="Standard2L1"/>
        <w:numPr>
          <w:ilvl w:val="0"/>
          <w:numId w:val="9"/>
        </w:numPr>
        <w:ind w:hanging="0" w:start="0"/>
        <w:rPr/>
      </w:pPr>
      <w:r>
        <w:rPr/>
        <w:t>Enron Canada further states, and the facts are, that as a result of the NGX/Canadian Enerdata Transaction, the Defendants have, for their own intended economic benefit (including, without limitation, by coercing Industry Participants to transact through the NGX Trading System in order to manage the price risk deliberately created by the NGX/Canadian Enerdata Transaction), exposed Industry Participants, including Enron Canada, who they knew or ought to have known relied and continue to rely on the Gas Price Indices, to economic risk both by excluding critical market information (and therefore impacting upon the neutrality, reliability and consistency of such indices) from the determination of the Gas Price Indices.  Further, the New Methodology employed to calculate the Gas Price Indices expose such indices to manipulation by Industry Participants, thereby compromising the integrity of the Gas Price Indices.</w:t>
      </w:r>
    </w:p>
    <w:p>
      <w:pPr>
        <w:pStyle w:val="Standard2L1"/>
        <w:numPr>
          <w:ilvl w:val="0"/>
          <w:numId w:val="9"/>
        </w:numPr>
        <w:ind w:hanging="0" w:start="0"/>
        <w:rPr/>
      </w:pPr>
      <w:r>
        <w:rPr/>
        <w:t>Enron Canada further states, and the facts are, that because of the NGX/Canadian Enerdata Transaction, Enron Canada no longer has an unfettered decision to decline to transact on the NGX Trading System owing to receivables and/or marked-to-market credit risks, but rather, such a decision is now fettered by Enron Canada having to consider whether failing to transact on the NGX Trading System will create intolerable and otherwise unmanageable price risks if such volumes are not traded given the now non-neutral, non-reliable and non-consistent Gas Price Indices as described above.  Further, as a result of the substantial and unmanageable price risk deliberately created by the NGX/ Canadian Enerdata Transaction, Enron Canada and others in the industry are coerced to transact on the NGX Trading System when they would otherwise not do so having regard to receivables and/or marked-to-market credit risks.</w:t>
      </w:r>
    </w:p>
    <w:p>
      <w:pPr>
        <w:pStyle w:val="Standard2L1"/>
        <w:numPr>
          <w:ilvl w:val="0"/>
          <w:numId w:val="9"/>
        </w:numPr>
        <w:ind w:hanging="0" w:start="0"/>
        <w:rPr/>
      </w:pPr>
      <w:r>
        <w:rPr/>
        <w:t xml:space="preserve">Enron Canada further states, that the facts are, that the NGX/Canadian Enerdata Transaction is nothing more than a thinly veiled attempt to undermine, </w:t>
      </w:r>
      <w:r>
        <w:rPr>
          <w:i/>
        </w:rPr>
        <w:t>inter alia</w:t>
      </w:r>
      <w:r>
        <w:rPr/>
        <w:t>, the reliability, neutrality and consistency of the Gas Price Indices to the economic benefit of the Defendants and corresponding detriment to Industry Participants, including Enron Canada.</w:t>
      </w:r>
    </w:p>
    <w:p>
      <w:pPr>
        <w:pStyle w:val="Standard2L1"/>
        <w:numPr>
          <w:ilvl w:val="0"/>
          <w:numId w:val="9"/>
        </w:numPr>
        <w:ind w:hanging="0" w:start="0"/>
        <w:rPr/>
      </w:pPr>
      <w:r>
        <w:rPr/>
        <w:t>As a result of the unlawful interference with economic and contractual relations, Enron Canada has and continues to suffer irreparable harm, loss and damages.</w:t>
      </w:r>
    </w:p>
    <w:p>
      <w:pPr>
        <w:pStyle w:val="head3"/>
        <w:rPr/>
      </w:pPr>
      <w:r>
        <w:rPr/>
        <w:t>Negligent Misrepresentation</w:t>
      </w:r>
    </w:p>
    <w:p>
      <w:pPr>
        <w:pStyle w:val="Standard2L1"/>
        <w:numPr>
          <w:ilvl w:val="0"/>
          <w:numId w:val="9"/>
        </w:numPr>
        <w:ind w:hanging="0" w:start="0"/>
        <w:rPr/>
      </w:pPr>
      <w:r>
        <w:rPr/>
        <w:t xml:space="preserve">Enron Canada states, that the Defendants, or any one of them, negligently misrepresented to Enron Canada the representations referred to in paragraphs </w:t>
      </w:r>
      <w:r>
        <w:rPr/>
        <w:fldChar w:fldCharType="begin"/>
      </w:r>
      <w:r>
        <w:rPr/>
        <w:instrText xml:space="preserve"> REF _Ref500135160 \r \r \h </w:instrText>
      </w:r>
      <w:r>
        <w:rPr/>
        <w:fldChar w:fldCharType="separate"/>
      </w:r>
      <w:r>
        <w:rPr/>
        <w:t>11</w:t>
      </w:r>
      <w:r>
        <w:rPr/>
        <w:fldChar w:fldCharType="end"/>
      </w:r>
      <w:r>
        <w:rPr/>
        <w:t xml:space="preserve"> and </w:t>
      </w:r>
      <w:r>
        <w:rPr/>
        <w:fldChar w:fldCharType="begin"/>
      </w:r>
      <w:r>
        <w:rPr/>
        <w:instrText xml:space="preserve"> REF _Ref500135199 \r \r \h </w:instrText>
      </w:r>
      <w:r>
        <w:rPr/>
        <w:fldChar w:fldCharType="separate"/>
      </w:r>
      <w:r>
        <w:rPr/>
        <w:t>18</w:t>
      </w:r>
      <w:r>
        <w:rPr/>
        <w:fldChar w:fldCharType="end"/>
      </w:r>
      <w:r>
        <w:rPr/>
        <w:t xml:space="preserve"> above and Enron Canada reasonably relied upon the same to their detriment.  Enron Canada states that it was reasonably foreseeable that it would rely upon the misrepresentations in the circumstances having regard to, </w:t>
      </w:r>
      <w:r>
        <w:rPr>
          <w:i/>
        </w:rPr>
        <w:t>inter alia</w:t>
      </w:r>
      <w:r>
        <w:rPr/>
        <w:t xml:space="preserve">, the special relationship of trust, good faith and confidence between Enron Canada and the Defendants, the position of the various Defendants within the oil and gas industry as well as the prior history of the publication of </w:t>
      </w:r>
      <w:r>
        <w:rPr>
          <w:i/>
        </w:rPr>
        <w:t>Canadian Gas Price Reporter</w:t>
      </w:r>
      <w:r>
        <w:rPr/>
        <w:t>.</w:t>
      </w:r>
    </w:p>
    <w:p>
      <w:pPr>
        <w:pStyle w:val="Standard2L1"/>
        <w:numPr>
          <w:ilvl w:val="0"/>
          <w:numId w:val="9"/>
        </w:numPr>
        <w:ind w:hanging="0" w:start="0"/>
        <w:rPr/>
      </w:pPr>
      <w:r>
        <w:rPr/>
        <w:t xml:space="preserve">As a result of Enron Canada relying upon the representations set forth in paragraphs </w:t>
      </w:r>
      <w:r>
        <w:rPr/>
        <w:fldChar w:fldCharType="begin"/>
      </w:r>
      <w:r>
        <w:rPr/>
        <w:instrText xml:space="preserve"> REF _Ref500135160 \w \w \h </w:instrText>
      </w:r>
      <w:r>
        <w:rPr/>
        <w:fldChar w:fldCharType="separate"/>
      </w:r>
      <w:r>
        <w:rPr/>
        <w:t>11</w:t>
      </w:r>
      <w:r>
        <w:rPr/>
        <w:fldChar w:fldCharType="end"/>
      </w:r>
      <w:r>
        <w:rPr/>
        <w:t xml:space="preserve"> and </w:t>
      </w:r>
      <w:r>
        <w:rPr/>
        <w:fldChar w:fldCharType="begin"/>
      </w:r>
      <w:r>
        <w:rPr/>
        <w:instrText xml:space="preserve"> REF _Ref500135199 \r \r \h </w:instrText>
      </w:r>
      <w:r>
        <w:rPr/>
        <w:fldChar w:fldCharType="separate"/>
      </w:r>
      <w:r>
        <w:rPr/>
        <w:t>18</w:t>
      </w:r>
      <w:r>
        <w:rPr/>
        <w:fldChar w:fldCharType="end"/>
      </w:r>
      <w:r>
        <w:rPr/>
        <w:t xml:space="preserve"> above, Enron Canada has and continues to suffer irreparable harm, loss and damages.</w:t>
      </w:r>
    </w:p>
    <w:p>
      <w:pPr>
        <w:pStyle w:val="head3"/>
        <w:rPr/>
      </w:pPr>
      <w:r>
        <w:rPr/>
        <w:t xml:space="preserve">Inducing Breach of Contract </w:t>
      </w:r>
    </w:p>
    <w:p>
      <w:pPr>
        <w:pStyle w:val="Standard2L1"/>
        <w:numPr>
          <w:ilvl w:val="0"/>
          <w:numId w:val="9"/>
        </w:numPr>
        <w:ind w:hanging="0" w:start="0"/>
        <w:rPr/>
      </w:pPr>
      <w:r>
        <w:rPr/>
        <w:t xml:space="preserve">Enron Canada further states, and the facts are, that NGX, Westcoast Energy and OM, with knowledge of the terms of the Subscription Agreement, as provided in paragraph </w:t>
      </w:r>
      <w:r>
        <w:rPr/>
        <w:fldChar w:fldCharType="begin"/>
      </w:r>
      <w:r>
        <w:rPr/>
        <w:instrText xml:space="preserve"> REF _Ref500135160 \w \w \h </w:instrText>
      </w:r>
      <w:r>
        <w:rPr/>
        <w:fldChar w:fldCharType="separate"/>
      </w:r>
      <w:r>
        <w:rPr/>
        <w:t>11</w:t>
      </w:r>
      <w:r>
        <w:rPr/>
        <w:fldChar w:fldCharType="end"/>
      </w:r>
      <w:r>
        <w:rPr/>
        <w:t xml:space="preserve"> herein, entered into the NGX/Canadian Enerdata Transaction with the intent to prevent, hinder or interfere with its performance by persuading, inducing or procuring Canadian Enerdata and/or Zarzeczny not to perform their obligations thereunder or, in the alternative, committed the unlawful acts referred to herein to prevent such performance.</w:t>
      </w:r>
    </w:p>
    <w:p>
      <w:pPr>
        <w:pStyle w:val="Standard2L1"/>
        <w:numPr>
          <w:ilvl w:val="0"/>
          <w:numId w:val="9"/>
        </w:numPr>
        <w:ind w:hanging="0" w:start="0"/>
        <w:rPr/>
      </w:pPr>
      <w:r>
        <w:rPr/>
        <w:t>As a result of NGX, Westcoast Energy, OM or any of them, inducing or procuring Canadian Enerdata and/or Zarzeczny to breach the terms of the Subscription Agreement, Enron Canada has and continues to suffer irreparable harm, loss and damages.</w:t>
      </w:r>
    </w:p>
    <w:p>
      <w:pPr>
        <w:pStyle w:val="head3"/>
        <w:rPr/>
      </w:pPr>
      <w:r>
        <w:rPr/>
        <w:t>Breach of NGX Trading System Contract</w:t>
      </w:r>
    </w:p>
    <w:p>
      <w:pPr>
        <w:pStyle w:val="Standard2L1"/>
        <w:numPr>
          <w:ilvl w:val="0"/>
          <w:numId w:val="9"/>
        </w:numPr>
        <w:ind w:hanging="0" w:start="0"/>
        <w:rPr/>
      </w:pPr>
      <w:r>
        <w:rPr/>
        <w:t xml:space="preserve">Enron Canada states, and the fact is, that the unilateral actions of the Defendants in changing the methodology applicable to determining the Gas Price Indices constitutes a breach of the NGX Trading System Contract.  </w:t>
      </w:r>
    </w:p>
    <w:p>
      <w:pPr>
        <w:pStyle w:val="Standard2L1"/>
        <w:numPr>
          <w:ilvl w:val="0"/>
          <w:numId w:val="9"/>
        </w:numPr>
        <w:ind w:hanging="0" w:start="0"/>
        <w:rPr>
          <w:b/>
        </w:rPr>
      </w:pPr>
      <w:r>
        <w:rPr/>
        <w:t xml:space="preserve">Enron Canada further states, and the facts are, that the structure of the NGX/Canadian Enerdata Transaction amounts to a unilateral amendment to the “Index Price” applicable under NGX’s own governing terms and conditions as set forth in the NGX Trading System Contract thereby negatively affecting outstanding and continuing transactions consummated with NGX by Enron Canada and others.  Further, Enron Canada states, and the facts are, that NGX is in breach of the express of implied terms referred to in paragraphs </w:t>
      </w:r>
      <w:r>
        <w:rPr/>
        <w:fldChar w:fldCharType="begin"/>
      </w:r>
      <w:r>
        <w:rPr/>
        <w:instrText xml:space="preserve"> REF _Ref500135199 \w \w \h </w:instrText>
      </w:r>
      <w:r>
        <w:rPr/>
        <w:fldChar w:fldCharType="separate"/>
      </w:r>
      <w:r>
        <w:rPr/>
        <w:t>18</w:t>
      </w:r>
      <w:r>
        <w:rPr/>
        <w:fldChar w:fldCharType="end"/>
      </w:r>
      <w:r>
        <w:rPr/>
        <w:t xml:space="preserve"> and </w:t>
      </w:r>
      <w:r>
        <w:rPr/>
        <w:fldChar w:fldCharType="begin"/>
      </w:r>
      <w:r>
        <w:rPr/>
        <w:instrText xml:space="preserve"> REF _Ref500135627 \w \w \h </w:instrText>
      </w:r>
      <w:r>
        <w:rPr/>
        <w:fldChar w:fldCharType="separate"/>
      </w:r>
      <w:r>
        <w:rPr/>
        <w:t>19</w:t>
      </w:r>
      <w:r>
        <w:rPr/>
        <w:fldChar w:fldCharType="end"/>
      </w:r>
      <w:r>
        <w:rPr/>
        <w:t xml:space="preserve"> above.</w:t>
      </w:r>
    </w:p>
    <w:p>
      <w:pPr>
        <w:pStyle w:val="Standard2L1"/>
        <w:numPr>
          <w:ilvl w:val="0"/>
          <w:numId w:val="9"/>
        </w:numPr>
        <w:ind w:hanging="0" w:start="0"/>
        <w:rPr/>
      </w:pPr>
      <w:r>
        <w:rPr/>
        <w:t xml:space="preserve">Enron Canada further states, and the facts are, that because of the breach of the NGX Trading System Contract, Enron Canada has been exposed to economic risk and corresponding irreparable harm, injury and damages with respect to all transactions completed by them on the NGX Trading System, having regard to the fact that, </w:t>
      </w:r>
      <w:r>
        <w:rPr>
          <w:i/>
        </w:rPr>
        <w:t>inter alia</w:t>
      </w:r>
      <w:r>
        <w:rPr/>
        <w:t>, Enron Canada is now coerced to transact on the NGX Trading System as a result of the substantial and unmanageable price risk deliberately created by the NGX/Canadian Enerdata Transaction.</w:t>
      </w:r>
    </w:p>
    <w:p>
      <w:pPr>
        <w:pStyle w:val="head3"/>
        <w:rPr/>
      </w:pPr>
      <w:r>
        <w:rPr/>
        <w:t>Breach of Fiduciary Duty</w:t>
      </w:r>
    </w:p>
    <w:p>
      <w:pPr>
        <w:pStyle w:val="Standard2L1"/>
        <w:numPr>
          <w:ilvl w:val="0"/>
          <w:numId w:val="9"/>
        </w:numPr>
        <w:ind w:hanging="0" w:start="0"/>
        <w:rPr/>
      </w:pPr>
      <w:r>
        <w:rPr/>
        <w:t xml:space="preserve">Enron Canada states, and the fact is, that the Defendants knew or ought to have known that Industry Participants, including Enron Canada, have and continue to rely heavily upon, </w:t>
      </w:r>
      <w:r>
        <w:rPr>
          <w:i/>
        </w:rPr>
        <w:t>inter alia</w:t>
      </w:r>
      <w:r>
        <w:rPr/>
        <w:t>, Gas Price Indices which are neutral, independent, reliable and consistent.</w:t>
      </w:r>
    </w:p>
    <w:p>
      <w:pPr>
        <w:pStyle w:val="Standard2L1"/>
        <w:numPr>
          <w:ilvl w:val="0"/>
          <w:numId w:val="9"/>
        </w:numPr>
        <w:ind w:hanging="0" w:start="0"/>
        <w:rPr/>
      </w:pPr>
      <w:r>
        <w:rPr/>
        <w:t xml:space="preserve">Further, the Defendants had and continue to have the scope for the exercise of discretion, power and control in the methodology used to calculate the Gas Price Indices which has been unilaterally exercised by the Defendants so as to negatively affect Enron Canada’s legal and practical interests including its economic and contractual relations.  Enron Canada has and continues to remain vulnerable to and at the mercy of the Defendants in calculating the Gas Price Indices.  </w:t>
      </w:r>
    </w:p>
    <w:p>
      <w:pPr>
        <w:pStyle w:val="Standard2L1"/>
        <w:numPr>
          <w:ilvl w:val="0"/>
          <w:numId w:val="9"/>
        </w:numPr>
        <w:ind w:hanging="0" w:start="0"/>
        <w:rPr/>
      </w:pPr>
      <w:r>
        <w:rPr/>
        <w:t xml:space="preserve">Accordingly, Enron Canada further states that having regard to, </w:t>
      </w:r>
      <w:r>
        <w:rPr>
          <w:i/>
        </w:rPr>
        <w:t>inter alia</w:t>
      </w:r>
      <w:r>
        <w:rPr/>
        <w:t xml:space="preserve">, the nature and structure of the natural gas trading environment, NGX and Canadian Enerdata owed and continues to owe a fiduciary duty to all Industry Participants, including Enron Canada.  Further, NGX and Canadian Enerdata have breached their fiduciary duties having regard to, </w:t>
      </w:r>
      <w:r>
        <w:rPr>
          <w:i/>
        </w:rPr>
        <w:t>inter alia</w:t>
      </w:r>
      <w:r>
        <w:rPr/>
        <w:t>, those particulars set out herein.</w:t>
      </w:r>
    </w:p>
    <w:p>
      <w:pPr>
        <w:pStyle w:val="Standard2L1"/>
        <w:numPr>
          <w:ilvl w:val="0"/>
          <w:numId w:val="9"/>
        </w:numPr>
        <w:ind w:hanging="0" w:start="0"/>
        <w:rPr/>
      </w:pPr>
      <w:r>
        <w:rPr/>
        <w:t>As a result of NGX and Canadian Enerdata breaching their fiduciary duties, Enron Canada has and continues to suffer irreparable harm, loss and damages.</w:t>
      </w:r>
    </w:p>
    <w:p>
      <w:pPr>
        <w:pStyle w:val="head3"/>
        <w:rPr/>
      </w:pPr>
      <w:r>
        <w:rPr/>
        <w:t>Breach of Subscription Agreement</w:t>
      </w:r>
    </w:p>
    <w:p>
      <w:pPr>
        <w:pStyle w:val="Standard2L1"/>
        <w:numPr>
          <w:ilvl w:val="0"/>
          <w:numId w:val="9"/>
        </w:numPr>
        <w:ind w:hanging="0" w:start="0"/>
        <w:rPr/>
      </w:pPr>
      <w:r>
        <w:rPr/>
        <w:t xml:space="preserve">Enron Canada states, and the facts are, that Canadian Enerdata and/or Zarzeczny breached the terms of the Subscription Agreement by virtue of, </w:t>
      </w:r>
      <w:r>
        <w:rPr>
          <w:i/>
        </w:rPr>
        <w:t>inter alia</w:t>
      </w:r>
      <w:r>
        <w:rPr/>
        <w:t>:</w:t>
      </w:r>
    </w:p>
    <w:p>
      <w:pPr>
        <w:pStyle w:val="Standard2L2"/>
        <w:numPr>
          <w:ilvl w:val="1"/>
          <w:numId w:val="9"/>
        </w:numPr>
        <w:ind w:hanging="0" w:start="0"/>
        <w:rPr/>
      </w:pPr>
      <w:r>
        <w:rPr/>
        <w:t>failing to calculate the Gas Price Indices using the volume weighted average of all index-related transactions undertaken by Industry Participants;</w:t>
      </w:r>
    </w:p>
    <w:p>
      <w:pPr>
        <w:pStyle w:val="Standard2L2"/>
        <w:numPr>
          <w:ilvl w:val="1"/>
          <w:numId w:val="9"/>
        </w:numPr>
        <w:ind w:hanging="0" w:start="0"/>
        <w:rPr/>
      </w:pPr>
      <w:r>
        <w:rPr/>
        <w:t xml:space="preserve">failing to ensure that the Gas Price Indices continued to be calculated in a fashion to ensure, </w:t>
      </w:r>
      <w:r>
        <w:rPr>
          <w:i/>
        </w:rPr>
        <w:t>inter alia</w:t>
      </w:r>
      <w:r>
        <w:rPr/>
        <w:t>, neutrality, reliability and consistency;</w:t>
      </w:r>
    </w:p>
    <w:p>
      <w:pPr>
        <w:pStyle w:val="Standard2L2"/>
        <w:numPr>
          <w:ilvl w:val="1"/>
          <w:numId w:val="9"/>
        </w:numPr>
        <w:ind w:hanging="0" w:start="0"/>
        <w:rPr/>
      </w:pPr>
      <w:r>
        <w:rPr/>
        <w:t>failing to obtain the consent of all Industry Participants, including Enron Canada, prior to any proposed change to the methodology employed in calculating the Gas Price Indices;</w:t>
      </w:r>
    </w:p>
    <w:p>
      <w:pPr>
        <w:pStyle w:val="Standard2L2"/>
        <w:numPr>
          <w:ilvl w:val="1"/>
          <w:numId w:val="9"/>
        </w:numPr>
        <w:ind w:hanging="0" w:start="0"/>
        <w:rPr/>
      </w:pPr>
      <w:r>
        <w:rPr/>
        <w:t xml:space="preserve">entering into the NGX/Canadian Enerdata Transaction which had the effect of changing the methodology of calculating the Gas Price Indices to detract or otherwise negate from, </w:t>
      </w:r>
      <w:r>
        <w:rPr>
          <w:i/>
        </w:rPr>
        <w:t>inter alia</w:t>
      </w:r>
      <w:r>
        <w:rPr/>
        <w:t>, the neutrality, reliability or consistency of the Gas Price Indices;</w:t>
      </w:r>
    </w:p>
    <w:p>
      <w:pPr>
        <w:pStyle w:val="Standard2L2"/>
        <w:numPr>
          <w:ilvl w:val="1"/>
          <w:numId w:val="9"/>
        </w:numPr>
        <w:ind w:hanging="0" w:start="0"/>
        <w:rPr/>
      </w:pPr>
      <w:r>
        <w:rPr/>
        <w:t>informing other Industry Participants with advance notice of up to 60 days of the proposed NGX/Canadian Enerdata Transaction, to the exclusion and detriment of Enron Canada;</w:t>
      </w:r>
    </w:p>
    <w:p>
      <w:pPr>
        <w:pStyle w:val="Standard2L2"/>
        <w:numPr>
          <w:ilvl w:val="1"/>
          <w:numId w:val="9"/>
        </w:numPr>
        <w:ind w:hanging="0" w:start="0"/>
        <w:rPr/>
      </w:pPr>
      <w:r>
        <w:rPr/>
        <w:t>failing to provide reasonable notice of the proposed and actual modifications to the methodology using calculating the Gas Price Indices; and</w:t>
      </w:r>
    </w:p>
    <w:p>
      <w:pPr>
        <w:pStyle w:val="Standard2L2"/>
        <w:numPr>
          <w:ilvl w:val="1"/>
          <w:numId w:val="9"/>
        </w:numPr>
        <w:ind w:hanging="0" w:start="0"/>
        <w:rPr/>
      </w:pPr>
      <w:r>
        <w:rPr/>
        <w:t>failing to act in good faith in performing the obligations owed under the Subscription Agreement.</w:t>
      </w:r>
    </w:p>
    <w:p>
      <w:pPr>
        <w:pStyle w:val="Standard2L1"/>
        <w:numPr>
          <w:ilvl w:val="0"/>
          <w:numId w:val="9"/>
        </w:numPr>
        <w:ind w:hanging="0" w:start="0"/>
        <w:rPr/>
      </w:pPr>
      <w:r>
        <w:rPr/>
        <w:t xml:space="preserve">As a result of the breach of the Subscription Agreement, Enron Canada has been exposed to economic risk and corresponding irreparable harm, injury and damages with respect to all transactions completed by them on the NGX Trading System, having regard to the fact that, </w:t>
      </w:r>
      <w:r>
        <w:rPr>
          <w:i/>
        </w:rPr>
        <w:t>inter alia,</w:t>
      </w:r>
      <w:r>
        <w:rPr/>
        <w:t xml:space="preserve"> Enron Canada is now coerced to transact on the NGX Trading System as a result of the substantial and unmanageable price risk deliberately created by the NGX/Canadian Enerdata transaction. </w:t>
      </w:r>
    </w:p>
    <w:p>
      <w:pPr>
        <w:pStyle w:val="head3"/>
        <w:rPr/>
      </w:pPr>
      <w:r>
        <w:rPr/>
        <w:t>Conspiracy</w:t>
      </w:r>
    </w:p>
    <w:p>
      <w:pPr>
        <w:pStyle w:val="Standard2L1"/>
        <w:numPr>
          <w:ilvl w:val="0"/>
          <w:numId w:val="9"/>
        </w:numPr>
        <w:ind w:hanging="0" w:start="0"/>
        <w:rPr/>
      </w:pPr>
      <w:r>
        <w:rPr/>
        <w:t>Enron Canada states, and the facts are, that by virtue of the NGX/Canadian Enerdata Transaction and the actions referred to herein, the Defendants undertook to conspire, combine, agree and/or arrange with each other for the predominant purpose of causing irreparable harm, injury and damage to the economic and contractual interests of Enron Canada.</w:t>
      </w:r>
    </w:p>
    <w:p>
      <w:pPr>
        <w:pStyle w:val="Standard2L1"/>
        <w:numPr>
          <w:ilvl w:val="0"/>
          <w:numId w:val="9"/>
        </w:numPr>
        <w:ind w:hanging="0" w:start="0"/>
        <w:rPr/>
      </w:pPr>
      <w:r>
        <w:rPr/>
        <w:t>Enron Canada further states, and the facts are, that by virtue of the NGX/Canadian Enerdata Transaction and the actions referred to herein, the Defendants undertook to conspire, combine, agree and/or arrange with each other to enhance the financial interests of each of them when they knew or ought to have known, that by their unlawful conduct the economic and contractual interests of Enron Canada would be irreparably harmed, injured and otherwise damaged.</w:t>
      </w:r>
    </w:p>
    <w:p>
      <w:pPr>
        <w:pStyle w:val="Standard2L1"/>
        <w:numPr>
          <w:ilvl w:val="0"/>
          <w:numId w:val="9"/>
        </w:numPr>
        <w:ind w:hanging="0" w:start="0"/>
        <w:rPr/>
      </w:pPr>
      <w:r>
        <w:rPr/>
        <w:t>As a result of the conspiracy carried out by the Defendants, Enron Canada has and continues to suffer irreparable harm, loss and damages.</w:t>
      </w:r>
    </w:p>
    <w:p>
      <w:pPr>
        <w:pStyle w:val="head3"/>
        <w:rPr/>
      </w:pPr>
      <w:r>
        <w:rPr/>
        <w:t>Irreparable Harm</w:t>
      </w:r>
    </w:p>
    <w:p>
      <w:pPr>
        <w:pStyle w:val="Standard2L1"/>
        <w:numPr>
          <w:ilvl w:val="0"/>
          <w:numId w:val="9"/>
        </w:numPr>
        <w:ind w:hanging="0" w:start="0"/>
        <w:rPr/>
      </w:pPr>
      <w:r>
        <w:rPr/>
        <w:t>As a result of the deliberate, undeniable, malicious and unlawful actions of the Defendants, including those actions set forth herein, Enron Canada has and will continue to suffer irreparable harm, some particulars of which are as follows:</w:t>
      </w:r>
    </w:p>
    <w:p>
      <w:pPr>
        <w:pStyle w:val="Standard2L2"/>
        <w:numPr>
          <w:ilvl w:val="1"/>
          <w:numId w:val="9"/>
        </w:numPr>
        <w:ind w:hanging="0" w:start="0"/>
        <w:rPr/>
      </w:pPr>
      <w:r>
        <w:rPr/>
        <w:t>interference with the substance of the intended rights, titles and benefits under its natural gas sale and purchase agreements and related transactions with counterparties and its natural gas trading and marketing business;</w:t>
      </w:r>
    </w:p>
    <w:p>
      <w:pPr>
        <w:pStyle w:val="Standard2L2"/>
        <w:numPr>
          <w:ilvl w:val="1"/>
          <w:numId w:val="9"/>
        </w:numPr>
        <w:ind w:hanging="0" w:start="0"/>
        <w:rPr/>
      </w:pPr>
      <w:r>
        <w:rPr/>
        <w:t xml:space="preserve">irreparable loss as a result of the substantial and unmanageable price risk deliberately created by the NGX/Canadian Enerdata Transaction; </w:t>
      </w:r>
    </w:p>
    <w:p>
      <w:pPr>
        <w:pStyle w:val="Standard2L2"/>
        <w:numPr>
          <w:ilvl w:val="1"/>
          <w:numId w:val="9"/>
        </w:numPr>
        <w:ind w:hanging="0" w:start="0"/>
        <w:rPr/>
      </w:pPr>
      <w:r>
        <w:rPr/>
        <w:t>substantial interference with Enron Canada’s contractual and economic relations in the physical and financial natural gas trading industry; and</w:t>
      </w:r>
    </w:p>
    <w:p>
      <w:pPr>
        <w:pStyle w:val="Standard2L2"/>
        <w:numPr>
          <w:ilvl w:val="1"/>
          <w:numId w:val="9"/>
        </w:numPr>
        <w:ind w:hanging="0" w:start="0"/>
        <w:rPr/>
      </w:pPr>
      <w:r>
        <w:rPr/>
        <w:t>exposure to high levels of credit risks inherent in the New Methodology associated with the NGX Trading System.</w:t>
      </w:r>
    </w:p>
    <w:p>
      <w:pPr>
        <w:pStyle w:val="head3"/>
        <w:rPr/>
      </w:pPr>
      <w:r>
        <w:rPr/>
        <w:t>Piercing of the Corporate Veil</w:t>
      </w:r>
    </w:p>
    <w:p>
      <w:pPr>
        <w:pStyle w:val="Standard2L1"/>
        <w:numPr>
          <w:ilvl w:val="0"/>
          <w:numId w:val="9"/>
        </w:numPr>
        <w:ind w:hanging="0" w:start="0"/>
        <w:rPr/>
      </w:pPr>
      <w:r>
        <w:rPr/>
        <w:t xml:space="preserve">Further, or in the alternative, Enron Canada states that the aforementioned unlawful conduct including </w:t>
      </w:r>
      <w:r>
        <w:rPr>
          <w:i/>
        </w:rPr>
        <w:t>inter alia:</w:t>
      </w:r>
      <w:r>
        <w:rPr/>
        <w:t xml:space="preserve"> unlawful interference with economic and contractual relations, breach of fiduciary duties, negligent misrepresentation, including breach of contract, or alternatively, conspiracy, ought to be attributed directly to the shareholders of NGX and Canadian Enerdata, namely Westcoast, OM and Zarzeczny, by piercing the corporate veil of NGX and Canadian Enerdata respectively.</w:t>
      </w:r>
    </w:p>
    <w:p>
      <w:pPr>
        <w:pStyle w:val="Standard2L1"/>
        <w:numPr>
          <w:ilvl w:val="0"/>
          <w:numId w:val="9"/>
        </w:numPr>
        <w:ind w:hanging="0" w:start="0"/>
        <w:rPr/>
      </w:pPr>
      <w:r>
        <w:rPr/>
        <w:t xml:space="preserve">Enron Canada states that at all material times, Westcoast and OM were utilizing NGX and Zarzeczny was utilizing Canadian Enerdata as a vehicle for improper conduct and the aforementioned unlawful actions.  Accordingly, Westcoast and OM utilized NGX and Zarzeczny utilized Canadian Enerdata as respective instruments for their own individual gain. </w:t>
      </w:r>
    </w:p>
    <w:p>
      <w:pPr>
        <w:pStyle w:val="Standard2L1"/>
        <w:numPr>
          <w:ilvl w:val="0"/>
          <w:numId w:val="9"/>
        </w:numPr>
        <w:ind w:hanging="0" w:start="0"/>
        <w:rPr/>
      </w:pPr>
      <w:r>
        <w:rPr/>
        <w:t xml:space="preserve">Further, or in the alternative, Westcoast and OM specifically authorized and procured the acts of NGX, and Zarzeczny specifically authorized and procured the acts of Canadian Enerdata, and were, at all material times, utilizing NGX and Canadian Enerdata simply as an alter-egos of their respective shareholders.  In fact, Enron Canada states that the said shareholders exercised such intimate and immediate domination of NGX and Canadian Enerdata so as to deprive NGX and Canadian Enerdata of any independent function.  As a result of the aforementioned domination and control exercised by the shareholders for the purposes of using NGX and Canadian Enerdata as a shield for improper conduct, Enron Canada states that Westcoast, OM and Zarzeczny are directly liable for all damages arising out of the circumstances stated herein. </w:t>
      </w:r>
    </w:p>
    <w:p>
      <w:pPr>
        <w:pStyle w:val="Standard2L1"/>
        <w:numPr>
          <w:ilvl w:val="0"/>
          <w:numId w:val="9"/>
        </w:numPr>
        <w:ind w:hanging="0" w:start="0"/>
        <w:rPr/>
      </w:pPr>
      <w:r>
        <w:rPr/>
        <w:t>Further, or in the alternative, Enron Canada states that NGX and Canadian Enerdata were, at all material times, acting as the authorized agents of Westcoast, OM and Zarzeczny, the principals of the NGX/Canadian Enerdata Transaction.</w:t>
      </w:r>
    </w:p>
    <w:p>
      <w:pPr>
        <w:pStyle w:val="Standard2L1"/>
        <w:numPr>
          <w:ilvl w:val="0"/>
          <w:numId w:val="9"/>
        </w:numPr>
        <w:ind w:hanging="0" w:start="0"/>
        <w:rPr/>
      </w:pPr>
      <w:r>
        <w:rPr/>
        <w:t>Enron Canada further states that having regard to all of the circumstances, the piercing of the corporate veil is warranted, considering the overall context and the interests of justice.</w:t>
      </w:r>
    </w:p>
    <w:p>
      <w:pPr>
        <w:pStyle w:val="head3"/>
        <w:rPr/>
      </w:pPr>
      <w:r>
        <w:rPr/>
        <w:t>Special and General Damages</w:t>
      </w:r>
    </w:p>
    <w:p>
      <w:pPr>
        <w:pStyle w:val="Standard2L1"/>
        <w:numPr>
          <w:ilvl w:val="0"/>
          <w:numId w:val="9"/>
        </w:numPr>
        <w:ind w:hanging="0" w:start="0"/>
        <w:rPr/>
      </w:pPr>
      <w:r>
        <w:rPr/>
        <w:t>Further or in the alternative, by reason of those actions referred to above, Enron Canada has and will continue to suffer special and general damages in amounts to be proven at trial.</w:t>
      </w:r>
    </w:p>
    <w:p>
      <w:pPr>
        <w:pStyle w:val="head3"/>
        <w:rPr/>
      </w:pPr>
      <w:r>
        <w:rPr/>
        <w:t>Punitive and Aggravated Damages</w:t>
      </w:r>
    </w:p>
    <w:p>
      <w:pPr>
        <w:pStyle w:val="Standard2L1"/>
        <w:numPr>
          <w:ilvl w:val="0"/>
          <w:numId w:val="9"/>
        </w:numPr>
        <w:ind w:hanging="0" w:start="0"/>
        <w:rPr/>
      </w:pPr>
      <w:r>
        <w:rPr/>
        <w:t>Enron Canada states, and the fact is, the Defendants have, by virtue of the NGX/Canadian Enerdata Transaction and the actions referred to herein, embarked upon a high-handed, malicious and reckless course of conduct, calculated or which was readily foreseeable to cause injury, irreparable harm and for damage to Enron Canada, which is properly the subject of aggravated and punitive damages.</w:t>
      </w:r>
    </w:p>
    <w:p>
      <w:pPr>
        <w:pStyle w:val="head3"/>
        <w:rPr/>
      </w:pPr>
      <w:r>
        <w:rPr/>
        <w:t>Proposal</w:t>
      </w:r>
    </w:p>
    <w:p>
      <w:pPr>
        <w:pStyle w:val="Standard2L1"/>
        <w:numPr>
          <w:ilvl w:val="0"/>
          <w:numId w:val="9"/>
        </w:numPr>
        <w:ind w:hanging="0" w:start="0"/>
        <w:rPr/>
      </w:pPr>
      <w:r>
        <w:rPr/>
        <w:t>The Plaintiff proposes that the trial of this action be held at the Court House, Calgary, Alberta and estimates that it will take less than 25 days to try.</w:t>
      </w:r>
    </w:p>
    <w:p>
      <w:pPr>
        <w:pStyle w:val="NumContinue"/>
        <w:ind w:firstLine="720" w:end="0"/>
        <w:rPr>
          <w:b/>
        </w:rPr>
      </w:pPr>
      <w:r>
        <w:rPr>
          <w:b/>
        </w:rPr>
        <w:t>WHEREFORE THE PLAINTIFF CLAIMS AGAINST THE DEFENDANTS, JOINTLY AND SEVERALLY, THE FOLLOWING:</w:t>
      </w:r>
    </w:p>
    <w:p>
      <w:pPr>
        <w:pStyle w:val="Standard2L2"/>
        <w:numPr>
          <w:ilvl w:val="1"/>
          <w:numId w:val="9"/>
        </w:numPr>
        <w:ind w:hanging="0" w:start="0"/>
        <w:rPr/>
      </w:pPr>
      <w:r>
        <w:rPr/>
        <w:t>an injunction, including an interim interim, mandatory and permanent injunction, or in the alternative, specific performance, directing NGX and Canadian Enerdata, together with their officers, directors, subsidiaries, affiliates, parents, predecessors, successors, assigns, employees, servants, agents, attorneys and each of them to:</w:t>
      </w:r>
    </w:p>
    <w:p>
      <w:pPr>
        <w:pStyle w:val="Standard2L3"/>
        <w:numPr>
          <w:ilvl w:val="2"/>
          <w:numId w:val="9"/>
        </w:numPr>
        <w:ind w:hanging="0" w:start="0"/>
        <w:rPr/>
      </w:pPr>
      <w:r>
        <w:rPr/>
        <w:t>re-institute the Traditional Survey methodology to calculate and otherwise publish the Gas Price Indices;  or, in the alternative</w:t>
      </w:r>
    </w:p>
    <w:p>
      <w:pPr>
        <w:pStyle w:val="Standard2L3"/>
        <w:numPr>
          <w:ilvl w:val="2"/>
          <w:numId w:val="9"/>
        </w:numPr>
        <w:ind w:hanging="0" w:start="0"/>
        <w:rPr/>
      </w:pPr>
      <w:r>
        <w:rPr/>
        <w:t>publish a volume-weighted average of the Gas Price Indices based upon trades completed upon all active and available electronic exchanges;</w:t>
      </w:r>
    </w:p>
    <w:p>
      <w:pPr>
        <w:pStyle w:val="Standard2L2"/>
        <w:numPr>
          <w:ilvl w:val="1"/>
          <w:numId w:val="9"/>
        </w:numPr>
        <w:ind w:hanging="0" w:start="0"/>
        <w:rPr/>
      </w:pPr>
      <w:r>
        <w:rPr/>
        <w:t>further, or in the alternative, special and general damages on account of intentional interference with contractual relations, unlawful interference with economic relations, breach of contract, breach of fiduciary duty, negligent misrepresentation inducing breach of contract and conspiracy, in an amount to be proven at trial, but not less than $100 million;</w:t>
      </w:r>
    </w:p>
    <w:p>
      <w:pPr>
        <w:pStyle w:val="Standard2L2"/>
        <w:numPr>
          <w:ilvl w:val="1"/>
          <w:numId w:val="9"/>
        </w:numPr>
        <w:ind w:hanging="0" w:start="0"/>
        <w:rPr/>
      </w:pPr>
      <w:r>
        <w:rPr/>
        <w:t>further, or in the alternative, aggravated and punitive damages in the amount of $1 million respectively;</w:t>
      </w:r>
    </w:p>
    <w:p>
      <w:pPr>
        <w:pStyle w:val="Standard2L2"/>
        <w:numPr>
          <w:ilvl w:val="1"/>
          <w:numId w:val="9"/>
        </w:numPr>
        <w:ind w:hanging="0" w:start="0"/>
        <w:rPr/>
      </w:pPr>
      <w:r>
        <w:rPr/>
        <w:t xml:space="preserve">further, or in the alternative, interest pursuant to the Alberta </w:t>
      </w:r>
      <w:r>
        <w:rPr>
          <w:i/>
        </w:rPr>
        <w:t>Judgment Interest Act</w:t>
      </w:r>
      <w:r>
        <w:rPr/>
        <w:t>, S.A. 1984, c. J-0.5, and amendments thereto;</w:t>
      </w:r>
    </w:p>
    <w:p>
      <w:pPr>
        <w:pStyle w:val="Standard2L2"/>
        <w:numPr>
          <w:ilvl w:val="1"/>
          <w:numId w:val="9"/>
        </w:numPr>
        <w:ind w:hanging="0" w:start="0"/>
        <w:rPr/>
      </w:pPr>
      <w:r>
        <w:rPr/>
        <w:t>costs of this action on a solicitor and client basis or upon such other amount as this Honourable Court deems just;  and</w:t>
      </w:r>
    </w:p>
    <w:p>
      <w:pPr>
        <w:pStyle w:val="Standard2L2"/>
        <w:numPr>
          <w:ilvl w:val="1"/>
          <w:numId w:val="9"/>
        </w:numPr>
        <w:ind w:hanging="0" w:start="0"/>
        <w:rPr/>
      </w:pPr>
      <w:r>
        <w:rPr/>
        <w:t>such other and further relief as this Honourable Court may deem fit.</w:t>
      </w:r>
    </w:p>
    <w:p>
      <w:pPr>
        <w:pStyle w:val="NumContinue"/>
        <w:ind w:firstLine="720" w:end="0"/>
        <w:rPr/>
      </w:pPr>
      <w:r>
        <w:rPr>
          <w:b/>
        </w:rPr>
        <w:t>DATED</w:t>
      </w:r>
      <w:r>
        <w:rPr/>
        <w:t xml:space="preserve"> at the City of Calgary, in the Province of Alberta, this 29</w:t>
      </w:r>
      <w:r>
        <w:rPr>
          <w:vertAlign w:val="superscript"/>
        </w:rPr>
        <w:t>th</w:t>
      </w:r>
      <w:r>
        <w:rPr/>
        <w:t xml:space="preserve"> day of November, 2000, </w:t>
      </w:r>
      <w:r>
        <w:rPr>
          <w:b/>
        </w:rPr>
        <w:t>AND DELIVERED</w:t>
      </w:r>
      <w:r>
        <w:rPr/>
        <w:t xml:space="preserve"> by </w:t>
      </w:r>
      <w:r>
        <w:rPr>
          <w:b/>
        </w:rPr>
        <w:t>BLAKE, CASSELS &amp; GRAYDON LLP</w:t>
      </w:r>
      <w:r>
        <w:rPr/>
        <w:t>,  Attention: Dalton W. McGrath (403) 260-9654, solicitors for the Plaintiff whose address for service is in care of the said solicitors at 3500 Bankers Hall East, 855 - 2nd Street S.W., Calgary, Alberta, T2P 4J8.</w:t>
      </w:r>
    </w:p>
    <w:p>
      <w:pPr>
        <w:pStyle w:val="NumContinue"/>
        <w:ind w:firstLine="720" w:end="0"/>
        <w:rPr/>
      </w:pPr>
      <w:r>
        <w:rPr>
          <w:b/>
        </w:rPr>
        <w:t>ISSUED</w:t>
      </w:r>
      <w:r>
        <w:rPr/>
        <w:t xml:space="preserve"> out of the Office of the Clerk of the Court of Queen’s Bench of Alberta, Judicial District of Calgary, this 29</w:t>
      </w:r>
      <w:r>
        <w:rPr>
          <w:vertAlign w:val="superscript"/>
        </w:rPr>
        <w:t>th</w:t>
      </w:r>
      <w:r>
        <w:rPr/>
        <w:t xml:space="preserve"> day of November, 2000.</w:t>
      </w:r>
    </w:p>
    <w:p>
      <w:pPr>
        <w:pStyle w:val="Normal"/>
        <w:tabs>
          <w:tab w:val="left" w:pos="720" w:leader="none"/>
          <w:tab w:val="right" w:pos="9360" w:leader="none"/>
        </w:tabs>
        <w:suppressAutoHyphens w:val="true"/>
        <w:ind w:start="5040" w:end="0"/>
        <w:rPr>
          <w:u w:val="single"/>
        </w:rPr>
      </w:pPr>
      <w:r>
        <w:rPr>
          <w:u w:val="single"/>
        </w:rPr>
        <w:tab/>
      </w:r>
    </w:p>
    <w:p>
      <w:pPr>
        <w:pStyle w:val="NumContinue"/>
        <w:spacing w:lineRule="auto" w:line="240" w:before="0" w:after="0"/>
        <w:ind w:start="5040" w:end="0"/>
        <w:rPr/>
      </w:pPr>
      <w:r>
        <w:rPr/>
        <w:t>Clerk of the Court of Queen’s Bench</w:t>
      </w:r>
    </w:p>
    <w:p>
      <w:pPr>
        <w:pStyle w:val="NumContinue"/>
        <w:spacing w:lineRule="auto" w:line="240" w:before="0" w:after="0"/>
        <w:ind w:start="5040" w:end="0"/>
        <w:rPr/>
      </w:pPr>
      <w:r>
        <w:rPr/>
      </w:r>
    </w:p>
    <w:p>
      <w:pPr>
        <w:pStyle w:val="NumContinue"/>
        <w:spacing w:lineRule="auto" w:line="240" w:before="0" w:after="0"/>
        <w:ind w:start="5040" w:end="0"/>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umContinue"/>
        <w:rPr/>
      </w:pPr>
      <w:r>
        <w:rPr/>
      </w:r>
    </w:p>
    <w:tbl>
      <w:tblPr>
        <w:tblW w:w="11016" w:type="dxa"/>
        <w:jc w:val="start"/>
        <w:tblInd w:w="0" w:type="dxa"/>
        <w:tblLayout w:type="fixed"/>
        <w:tblCellMar>
          <w:top w:w="0" w:type="dxa"/>
          <w:start w:w="108" w:type="dxa"/>
          <w:bottom w:w="0" w:type="dxa"/>
          <w:end w:w="108" w:type="dxa"/>
        </w:tblCellMar>
      </w:tblPr>
      <w:tblGrid>
        <w:gridCol w:w="4788"/>
        <w:gridCol w:w="450"/>
        <w:gridCol w:w="5778"/>
      </w:tblGrid>
      <w:tr>
        <w:trPr/>
        <w:tc>
          <w:tcPr>
            <w:tcW w:w="4788" w:type="dxa"/>
            <w:tcBorders/>
          </w:tcPr>
          <w:p>
            <w:pPr>
              <w:pStyle w:val="Normal"/>
              <w:suppressAutoHyphens w:val="true"/>
              <w:snapToGrid w:val="false"/>
              <w:rPr>
                <w:b/>
              </w:rPr>
            </w:pPr>
            <w:r>
              <w:rPr>
                <w:b/>
              </w:rPr>
            </w:r>
          </w:p>
          <w:p>
            <w:pPr>
              <w:pStyle w:val="Normal"/>
              <w:suppressAutoHyphens w:val="true"/>
              <w:rPr>
                <w:rFonts w:ascii="Times New Roman Bold" w:hAnsi="Times New Roman Bold" w:cs="Times New Roman Bold"/>
              </w:rPr>
            </w:pPr>
            <w:r>
              <w:rPr>
                <w:b/>
              </w:rPr>
              <w:t>NOTICE TO THE DEFENDANTS:</w:t>
            </w:r>
          </w:p>
          <w:p>
            <w:pPr>
              <w:pStyle w:val="Normal"/>
              <w:suppressAutoHyphens w:val="true"/>
              <w:rPr>
                <w:rFonts w:ascii="Times New Roman Bold" w:hAnsi="Times New Roman Bold" w:cs="Times New Roman Bold"/>
              </w:rPr>
            </w:pPr>
            <w:r>
              <w:rPr>
                <w:rFonts w:cs="Times New Roman Bold" w:ascii="Times New Roman Bold" w:hAnsi="Times New Roman Bold"/>
              </w:rPr>
            </w:r>
          </w:p>
          <w:p>
            <w:pPr>
              <w:pStyle w:val="Normal"/>
              <w:suppressAutoHyphens w:val="true"/>
              <w:rPr>
                <w:b/>
              </w:rPr>
            </w:pPr>
            <w:r>
              <w:rPr>
                <w:b/>
              </w:rPr>
              <w:t xml:space="preserve">NGX CANADA INC., CANADIAN ENERDATA LTD., WESTCOAST ENERGY INC., </w:t>
            </w:r>
            <w:r>
              <w:rPr>
                <w:rFonts w:cs="Times New Roman Bold" w:ascii="Times New Roman Bold" w:hAnsi="Times New Roman Bold"/>
                <w:b/>
                <w:caps/>
              </w:rPr>
              <w:t>om gruppen aB</w:t>
            </w:r>
            <w:r>
              <w:rPr>
                <w:rFonts w:cs="Times New Roman Bold" w:ascii="Times New Roman Bold" w:hAnsi="Times New Roman Bold"/>
                <w:b/>
              </w:rPr>
              <w:t xml:space="preserve"> and R</w:t>
            </w:r>
            <w:r>
              <w:rPr>
                <w:rFonts w:cs="Times New Roman Bold" w:ascii="Times New Roman Bold" w:hAnsi="Times New Roman Bold"/>
                <w:b/>
                <w:caps/>
              </w:rPr>
              <w:t>ichard Zarzeczny</w:t>
            </w:r>
          </w:p>
          <w:p>
            <w:pPr>
              <w:pStyle w:val="Normal"/>
              <w:suppressAutoHyphens w:val="true"/>
              <w:rPr>
                <w:b/>
              </w:rPr>
            </w:pPr>
            <w:r>
              <w:rPr>
                <w:b/>
              </w:rPr>
            </w:r>
          </w:p>
          <w:p>
            <w:pPr>
              <w:pStyle w:val="Normal"/>
              <w:suppressAutoHyphens w:val="true"/>
              <w:rPr/>
            </w:pPr>
            <w:r>
              <w:rPr/>
              <w:t>You have been sued.  You are the Defendants.  You have 15 days to file and serve a Statement of Defence or Demand of Notice.  You or your lawyer must file your Statement of Defence or Demand of Notice in the office of the Clerk of the Court of Queen’s Bench in Calgary, Alberta.  You or your lawyer must also leave a copy of your Statement of Defence or Demand of Notice at the address for service of the Plaintiff named in this Statement of Claim.</w:t>
            </w:r>
          </w:p>
          <w:p>
            <w:pPr>
              <w:pStyle w:val="Normal"/>
              <w:suppressAutoHyphens w:val="true"/>
              <w:rPr/>
            </w:pPr>
            <w:r>
              <w:rPr/>
            </w:r>
          </w:p>
          <w:p>
            <w:pPr>
              <w:pStyle w:val="Normal"/>
              <w:suppressAutoHyphens w:val="true"/>
              <w:rPr/>
            </w:pPr>
            <w:r>
              <w:rPr/>
            </w:r>
          </w:p>
          <w:p>
            <w:pPr>
              <w:pStyle w:val="Normal"/>
              <w:suppressAutoHyphens w:val="true"/>
              <w:rPr/>
            </w:pPr>
            <w:r>
              <w:rPr>
                <w:b/>
                <w:u w:val="single"/>
              </w:rPr>
              <w:t>WARNING</w:t>
            </w:r>
            <w:r>
              <w:rPr/>
              <w:t>:  If you do not do both things within 15 days, you may automatically lose the law suit.  The Plaintiff may get a Court judgment against you if you do not file, or do not give a copy to the Plaintiff, or do either thing late.</w:t>
            </w:r>
          </w:p>
          <w:p>
            <w:pPr>
              <w:pStyle w:val="Normal"/>
              <w:suppressAutoHyphens w:val="true"/>
              <w:rPr/>
            </w:pPr>
            <w:r>
              <w:rPr/>
            </w:r>
          </w:p>
          <w:p>
            <w:pPr>
              <w:pStyle w:val="Normal"/>
              <w:suppressAutoHyphens w:val="true"/>
              <w:rPr/>
            </w:pPr>
            <w:r>
              <w:rPr/>
              <w:t>This Statement of Claim is filed by:</w:t>
            </w:r>
          </w:p>
          <w:p>
            <w:pPr>
              <w:pStyle w:val="Normal"/>
              <w:suppressAutoHyphens w:val="true"/>
              <w:rPr/>
            </w:pPr>
            <w:r>
              <w:rPr/>
            </w:r>
          </w:p>
          <w:p>
            <w:pPr>
              <w:pStyle w:val="Normal"/>
              <w:tabs>
                <w:tab w:val="clear" w:pos="720"/>
                <w:tab w:val="right" w:pos="4932" w:leader="none"/>
                <w:tab w:val="right" w:pos="10800" w:leader="none"/>
              </w:tabs>
              <w:suppressAutoHyphens w:val="true"/>
              <w:jc w:val="center"/>
              <w:rPr>
                <w:b/>
              </w:rPr>
            </w:pPr>
            <w:r>
              <w:rPr>
                <w:b/>
              </w:rPr>
              <w:t>BLAKE, CASSELS &amp; GRAYDON LLP</w:t>
            </w:r>
          </w:p>
          <w:p>
            <w:pPr>
              <w:pStyle w:val="Normal"/>
              <w:tabs>
                <w:tab w:val="clear" w:pos="720"/>
                <w:tab w:val="right" w:pos="4932" w:leader="none"/>
                <w:tab w:val="right" w:pos="10800" w:leader="none"/>
              </w:tabs>
              <w:suppressAutoHyphens w:val="true"/>
              <w:jc w:val="center"/>
              <w:rPr/>
            </w:pPr>
            <w:r>
              <w:rPr/>
              <w:t>Barristers and Solicitors</w:t>
            </w:r>
          </w:p>
          <w:p>
            <w:pPr>
              <w:pStyle w:val="Normal"/>
              <w:tabs>
                <w:tab w:val="clear" w:pos="720"/>
                <w:tab w:val="right" w:pos="4932" w:leader="none"/>
                <w:tab w:val="right" w:pos="10800" w:leader="none"/>
              </w:tabs>
              <w:suppressAutoHyphens w:val="true"/>
              <w:jc w:val="center"/>
              <w:rPr/>
            </w:pPr>
            <w:r>
              <w:rPr/>
              <w:t>3500, 855 – 2</w:t>
            </w:r>
            <w:r>
              <w:rPr>
                <w:vertAlign w:val="superscript"/>
              </w:rPr>
              <w:t>nd</w:t>
            </w:r>
            <w:r>
              <w:rPr/>
              <w:t xml:space="preserve"> Street S.W.</w:t>
            </w:r>
          </w:p>
          <w:p>
            <w:pPr>
              <w:pStyle w:val="Normal"/>
              <w:tabs>
                <w:tab w:val="clear" w:pos="720"/>
                <w:tab w:val="right" w:pos="4932" w:leader="none"/>
                <w:tab w:val="right" w:pos="10800" w:leader="none"/>
              </w:tabs>
              <w:suppressAutoHyphens w:val="true"/>
              <w:jc w:val="center"/>
              <w:rPr/>
            </w:pPr>
            <w:r>
              <w:rPr/>
              <w:t>Calgary, Alberta  T2P 4J8</w:t>
            </w:r>
          </w:p>
          <w:p>
            <w:pPr>
              <w:pStyle w:val="Normal"/>
              <w:tabs>
                <w:tab w:val="clear" w:pos="720"/>
                <w:tab w:val="right" w:pos="4932" w:leader="none"/>
                <w:tab w:val="right" w:pos="10800" w:leader="none"/>
              </w:tabs>
              <w:suppressAutoHyphens w:val="true"/>
              <w:jc w:val="center"/>
              <w:rPr/>
            </w:pPr>
            <w:r>
              <w:rPr/>
            </w:r>
          </w:p>
          <w:p>
            <w:pPr>
              <w:pStyle w:val="Normal"/>
              <w:tabs>
                <w:tab w:val="clear" w:pos="720"/>
                <w:tab w:val="right" w:pos="4932" w:leader="none"/>
                <w:tab w:val="right" w:pos="10800" w:leader="none"/>
              </w:tabs>
              <w:suppressAutoHyphens w:val="true"/>
              <w:jc w:val="center"/>
              <w:rPr/>
            </w:pPr>
            <w:r>
              <w:rPr/>
              <w:t>Dalton W. McGrath</w:t>
            </w:r>
          </w:p>
          <w:p>
            <w:pPr>
              <w:pStyle w:val="Normal"/>
              <w:tabs>
                <w:tab w:val="clear" w:pos="720"/>
                <w:tab w:val="right" w:pos="4932" w:leader="none"/>
                <w:tab w:val="right" w:pos="10800" w:leader="none"/>
              </w:tabs>
              <w:suppressAutoHyphens w:val="true"/>
              <w:jc w:val="center"/>
              <w:rPr/>
            </w:pPr>
            <w:r>
              <w:rPr/>
              <w:t>(t) 403-260-9654</w:t>
            </w:r>
          </w:p>
          <w:p>
            <w:pPr>
              <w:pStyle w:val="Normal"/>
              <w:tabs>
                <w:tab w:val="clear" w:pos="720"/>
                <w:tab w:val="right" w:pos="4932" w:leader="none"/>
                <w:tab w:val="right" w:pos="10800" w:leader="none"/>
              </w:tabs>
              <w:suppressAutoHyphens w:val="true"/>
              <w:jc w:val="center"/>
              <w:rPr/>
            </w:pPr>
            <w:r>
              <w:rPr/>
              <w:t>(f) 403-260-9700</w:t>
            </w:r>
          </w:p>
          <w:p>
            <w:pPr>
              <w:pStyle w:val="Normal"/>
              <w:tabs>
                <w:tab w:val="clear" w:pos="720"/>
                <w:tab w:val="right" w:pos="4932" w:leader="none"/>
                <w:tab w:val="right" w:pos="10800" w:leader="none"/>
              </w:tabs>
              <w:suppressAutoHyphens w:val="true"/>
              <w:jc w:val="center"/>
              <w:rPr/>
            </w:pPr>
            <w:r>
              <w:rPr/>
            </w:r>
          </w:p>
          <w:p>
            <w:pPr>
              <w:pStyle w:val="Normal"/>
              <w:tabs>
                <w:tab w:val="clear" w:pos="720"/>
                <w:tab w:val="right" w:pos="4932" w:leader="none"/>
                <w:tab w:val="right" w:pos="10800" w:leader="none"/>
              </w:tabs>
              <w:suppressAutoHyphens w:val="true"/>
              <w:rPr/>
            </w:pPr>
            <w:r>
              <w:rPr/>
              <w:t>solicitor for the Plaintiff who carries on business at Calgary, Alberta.</w:t>
            </w:r>
          </w:p>
          <w:p>
            <w:pPr>
              <w:pStyle w:val="Normal"/>
              <w:tabs>
                <w:tab w:val="clear" w:pos="720"/>
                <w:tab w:val="right" w:pos="4932" w:leader="none"/>
                <w:tab w:val="right" w:pos="10800" w:leader="none"/>
              </w:tabs>
              <w:suppressAutoHyphens w:val="true"/>
              <w:rPr/>
            </w:pPr>
            <w:r>
              <w:rPr/>
            </w:r>
          </w:p>
          <w:p>
            <w:pPr>
              <w:pStyle w:val="Normal"/>
              <w:suppressAutoHyphens w:val="true"/>
              <w:rPr/>
            </w:pPr>
            <w:r>
              <w:rPr/>
              <w:t>And whose address for service is c/o the said Solicitor and is addressed to the Plaintiff whose business so far as known to the Plaintiff is Calgary, Alberta.</w:t>
            </w:r>
          </w:p>
        </w:tc>
        <w:tc>
          <w:tcPr>
            <w:tcW w:w="450" w:type="dxa"/>
            <w:tcBorders/>
          </w:tcPr>
          <w:p>
            <w:pPr>
              <w:pStyle w:val="Normal"/>
              <w:suppressAutoHyphens w:val="true"/>
              <w:snapToGrid w:val="false"/>
              <w:rPr/>
            </w:pPr>
            <w:r>
              <w:rPr/>
            </w:r>
          </w:p>
        </w:tc>
        <w:tc>
          <w:tcPr>
            <w:tcW w:w="5778" w:type="dxa"/>
            <w:tcBorders/>
          </w:tcPr>
          <w:p>
            <w:pPr>
              <w:pStyle w:val="Normal"/>
              <w:tabs>
                <w:tab w:val="clear" w:pos="720"/>
                <w:tab w:val="right" w:pos="5472" w:leader="none"/>
                <w:tab w:val="right" w:pos="10800" w:leader="none"/>
              </w:tabs>
              <w:suppressAutoHyphens w:val="true"/>
              <w:rPr/>
            </w:pPr>
            <w:r>
              <w:rPr/>
              <w:t>Action No. 0001-19183</w:t>
              <w:tab/>
              <w:t>2000</w:t>
            </w:r>
          </w:p>
          <w:p>
            <w:pPr>
              <w:pStyle w:val="Normal"/>
              <w:tabs>
                <w:tab w:val="clear" w:pos="720"/>
                <w:tab w:val="right" w:pos="10800" w:leader="none"/>
              </w:tabs>
              <w:suppressAutoHyphens w:val="true"/>
              <w:rPr/>
            </w:pPr>
            <w:r>
              <w:rPr/>
            </w:r>
          </w:p>
          <w:p>
            <w:pPr>
              <w:pStyle w:val="Normal"/>
              <w:pBdr>
                <w:top w:val="single" w:sz="4" w:space="1" w:color="000000"/>
              </w:pBdr>
              <w:tabs>
                <w:tab w:val="clear" w:pos="720"/>
                <w:tab w:val="right" w:pos="4932" w:leader="none"/>
                <w:tab w:val="right" w:pos="10800" w:leader="none"/>
              </w:tabs>
              <w:suppressAutoHyphens w:val="true"/>
              <w:rPr/>
            </w:pPr>
            <w:r>
              <w:rPr/>
            </w:r>
          </w:p>
          <w:p>
            <w:pPr>
              <w:pStyle w:val="Normal"/>
              <w:pBdr>
                <w:top w:val="single" w:sz="4" w:space="1" w:color="000000"/>
              </w:pBdr>
              <w:tabs>
                <w:tab w:val="clear" w:pos="720"/>
                <w:tab w:val="right" w:pos="4932" w:leader="none"/>
                <w:tab w:val="right" w:pos="10800" w:leader="none"/>
              </w:tabs>
              <w:suppressAutoHyphens w:val="true"/>
              <w:jc w:val="center"/>
              <w:rPr>
                <w:b/>
              </w:rPr>
            </w:pPr>
            <w:r>
              <w:rPr>
                <w:b/>
              </w:rPr>
              <w:t>IN THE COURT OF QUEEN’S BENCH OF ALBERTA</w:t>
            </w:r>
          </w:p>
          <w:p>
            <w:pPr>
              <w:pStyle w:val="Normal"/>
              <w:pBdr>
                <w:top w:val="single" w:sz="4" w:space="1" w:color="000000"/>
              </w:pBdr>
              <w:tabs>
                <w:tab w:val="clear" w:pos="720"/>
                <w:tab w:val="right" w:pos="4932" w:leader="none"/>
                <w:tab w:val="right" w:pos="10800" w:leader="none"/>
              </w:tabs>
              <w:suppressAutoHyphens w:val="true"/>
              <w:jc w:val="center"/>
              <w:rPr>
                <w:b/>
              </w:rPr>
            </w:pPr>
            <w:r>
              <w:rPr>
                <w:b/>
              </w:rPr>
              <w:t>JUDICIAL DISTRICT OF CALGARY</w:t>
            </w:r>
          </w:p>
          <w:p>
            <w:pPr>
              <w:pStyle w:val="Normal"/>
              <w:pBdr>
                <w:top w:val="single" w:sz="4" w:space="1" w:color="000000"/>
              </w:pBdr>
              <w:tabs>
                <w:tab w:val="clear" w:pos="720"/>
                <w:tab w:val="right" w:pos="10800" w:leader="none"/>
              </w:tabs>
              <w:suppressAutoHyphens w:val="true"/>
              <w:rPr>
                <w:u w:val="single"/>
              </w:rPr>
            </w:pPr>
            <w:r>
              <w:rPr>
                <w:u w:val="single"/>
              </w:rPr>
              <w:tab/>
            </w:r>
          </w:p>
          <w:p>
            <w:pPr>
              <w:pStyle w:val="Normal"/>
              <w:pBdr>
                <w:top w:val="single" w:sz="4" w:space="1" w:color="000000"/>
              </w:pBdr>
              <w:tabs>
                <w:tab w:val="clear" w:pos="720"/>
                <w:tab w:val="right" w:pos="4932" w:leader="none"/>
                <w:tab w:val="right" w:pos="10800" w:leader="none"/>
              </w:tabs>
              <w:suppressAutoHyphens w:val="true"/>
              <w:rPr>
                <w:u w:val="single"/>
              </w:rPr>
            </w:pPr>
            <w:r>
              <w:rPr>
                <w:u w:val="single"/>
              </w:rPr>
            </w:r>
          </w:p>
          <w:p>
            <w:pPr>
              <w:pStyle w:val="Normal"/>
              <w:pBdr>
                <w:top w:val="single" w:sz="4" w:space="1" w:color="000000"/>
              </w:pBdr>
              <w:tabs>
                <w:tab w:val="clear" w:pos="720"/>
                <w:tab w:val="right" w:pos="4932" w:leader="none"/>
                <w:tab w:val="right" w:pos="10800" w:leader="none"/>
              </w:tabs>
              <w:suppressAutoHyphens w:val="true"/>
              <w:rPr/>
            </w:pPr>
            <w:r>
              <w:rPr/>
              <w:t>BETWEEN:</w:t>
            </w:r>
          </w:p>
          <w:p>
            <w:pPr>
              <w:pStyle w:val="Normal"/>
              <w:pBdr>
                <w:top w:val="single" w:sz="4" w:space="1" w:color="000000"/>
              </w:pBdr>
              <w:tabs>
                <w:tab w:val="clear" w:pos="720"/>
                <w:tab w:val="right" w:pos="4932" w:leader="none"/>
                <w:tab w:val="right" w:pos="10800" w:leader="none"/>
              </w:tabs>
              <w:suppressAutoHyphens w:val="true"/>
              <w:rPr/>
            </w:pPr>
            <w:r>
              <w:rPr/>
            </w:r>
          </w:p>
          <w:p>
            <w:pPr>
              <w:pStyle w:val="Normal"/>
              <w:pBdr>
                <w:top w:val="single" w:sz="4" w:space="1" w:color="000000"/>
              </w:pBdr>
              <w:tabs>
                <w:tab w:val="clear" w:pos="720"/>
                <w:tab w:val="right" w:pos="4932" w:leader="none"/>
                <w:tab w:val="right" w:pos="10800" w:leader="none"/>
              </w:tabs>
              <w:suppressAutoHyphens w:val="true"/>
              <w:jc w:val="center"/>
              <w:rPr>
                <w:b/>
              </w:rPr>
            </w:pPr>
            <w:r>
              <w:rPr>
                <w:b/>
              </w:rPr>
              <w:t>ENRON CANADA CORP.</w:t>
            </w:r>
          </w:p>
          <w:p>
            <w:pPr>
              <w:pStyle w:val="Normal"/>
              <w:pBdr>
                <w:top w:val="single" w:sz="4" w:space="1" w:color="000000"/>
              </w:pBdr>
              <w:tabs>
                <w:tab w:val="clear" w:pos="720"/>
                <w:tab w:val="right" w:pos="4932" w:leader="none"/>
                <w:tab w:val="right" w:pos="10800" w:leader="none"/>
              </w:tabs>
              <w:suppressAutoHyphens w:val="true"/>
              <w:rPr/>
            </w:pPr>
            <w:r>
              <w:rPr/>
            </w:r>
          </w:p>
          <w:p>
            <w:pPr>
              <w:pStyle w:val="Normal"/>
              <w:pBdr>
                <w:top w:val="single" w:sz="4" w:space="1" w:color="000000"/>
              </w:pBdr>
              <w:tabs>
                <w:tab w:val="clear" w:pos="720"/>
                <w:tab w:val="right" w:pos="4932" w:leader="none"/>
                <w:tab w:val="right" w:pos="10800" w:leader="none"/>
              </w:tabs>
              <w:suppressAutoHyphens w:val="true"/>
              <w:jc w:val="end"/>
              <w:rPr/>
            </w:pPr>
            <w:r>
              <w:rPr/>
              <w:t>Plaintiff</w:t>
            </w:r>
          </w:p>
          <w:p>
            <w:pPr>
              <w:pStyle w:val="Normal"/>
              <w:pBdr>
                <w:top w:val="single" w:sz="4" w:space="1" w:color="000000"/>
              </w:pBdr>
              <w:tabs>
                <w:tab w:val="clear" w:pos="720"/>
                <w:tab w:val="right" w:pos="4932" w:leader="none"/>
                <w:tab w:val="right" w:pos="10800" w:leader="none"/>
              </w:tabs>
              <w:suppressAutoHyphens w:val="true"/>
              <w:jc w:val="end"/>
              <w:rPr/>
            </w:pPr>
            <w:r>
              <w:rPr/>
            </w:r>
          </w:p>
          <w:p>
            <w:pPr>
              <w:pStyle w:val="Normal"/>
              <w:numPr>
                <w:ilvl w:val="0"/>
                <w:numId w:val="5"/>
              </w:numPr>
              <w:pBdr>
                <w:top w:val="single" w:sz="4" w:space="1" w:color="000000"/>
              </w:pBdr>
              <w:tabs>
                <w:tab w:val="clear" w:pos="720"/>
                <w:tab w:val="right" w:pos="4932" w:leader="none"/>
                <w:tab w:val="right" w:pos="10800" w:leader="none"/>
              </w:tabs>
              <w:suppressAutoHyphens w:val="true"/>
              <w:jc w:val="center"/>
              <w:rPr/>
            </w:pPr>
            <w:r>
              <w:rPr/>
              <w:t>and –</w:t>
            </w:r>
          </w:p>
          <w:p>
            <w:pPr>
              <w:pStyle w:val="Normal"/>
              <w:pBdr>
                <w:top w:val="single" w:sz="4" w:space="1" w:color="000000"/>
              </w:pBdr>
              <w:tabs>
                <w:tab w:val="clear" w:pos="720"/>
                <w:tab w:val="right" w:pos="4932" w:leader="none"/>
                <w:tab w:val="right" w:pos="10800" w:leader="none"/>
              </w:tabs>
              <w:suppressAutoHyphens w:val="true"/>
              <w:rPr/>
            </w:pPr>
            <w:r>
              <w:rPr/>
            </w:r>
          </w:p>
          <w:p>
            <w:pPr>
              <w:pStyle w:val="Normal"/>
              <w:pBdr>
                <w:top w:val="single" w:sz="4" w:space="1" w:color="000000"/>
              </w:pBdr>
              <w:tabs>
                <w:tab w:val="clear" w:pos="720"/>
                <w:tab w:val="right" w:pos="4932" w:leader="none"/>
                <w:tab w:val="right" w:pos="10800" w:leader="none"/>
              </w:tabs>
              <w:suppressAutoHyphens w:val="true"/>
              <w:jc w:val="center"/>
              <w:rPr>
                <w:b/>
              </w:rPr>
            </w:pPr>
            <w:r>
              <w:rPr>
                <w:b/>
              </w:rPr>
              <w:t xml:space="preserve">NGX CANADA INC., CANADIAN ENERDATA LTD., WESTCOAST ENERGY INC., </w:t>
            </w:r>
            <w:r>
              <w:rPr>
                <w:rFonts w:cs="Times New Roman Bold" w:ascii="Times New Roman Bold" w:hAnsi="Times New Roman Bold"/>
                <w:b/>
                <w:caps/>
              </w:rPr>
              <w:t xml:space="preserve">om gruppen ab </w:t>
            </w:r>
            <w:r>
              <w:rPr>
                <w:rFonts w:cs="Times New Roman Bold" w:ascii="Times New Roman Bold" w:hAnsi="Times New Roman Bold"/>
                <w:b/>
              </w:rPr>
              <w:t>and RICHARD ZARZECZNY</w:t>
            </w:r>
          </w:p>
          <w:p>
            <w:pPr>
              <w:pStyle w:val="Normal"/>
              <w:pBdr>
                <w:top w:val="single" w:sz="4" w:space="1" w:color="000000"/>
              </w:pBdr>
              <w:tabs>
                <w:tab w:val="clear" w:pos="720"/>
                <w:tab w:val="right" w:pos="4932" w:leader="none"/>
                <w:tab w:val="right" w:pos="10800" w:leader="none"/>
              </w:tabs>
              <w:suppressAutoHyphens w:val="true"/>
              <w:rPr>
                <w:b/>
              </w:rPr>
            </w:pPr>
            <w:r>
              <w:rPr>
                <w:b/>
              </w:rPr>
            </w:r>
          </w:p>
          <w:p>
            <w:pPr>
              <w:pStyle w:val="Normal"/>
              <w:pBdr>
                <w:top w:val="single" w:sz="4" w:space="1" w:color="000000"/>
              </w:pBdr>
              <w:tabs>
                <w:tab w:val="clear" w:pos="720"/>
                <w:tab w:val="right" w:pos="4932" w:leader="none"/>
                <w:tab w:val="right" w:pos="10800" w:leader="none"/>
              </w:tabs>
              <w:suppressAutoHyphens w:val="true"/>
              <w:jc w:val="end"/>
              <w:rPr/>
            </w:pPr>
            <w:r>
              <w:rPr/>
              <w:t>Defendants</w:t>
            </w:r>
          </w:p>
          <w:p>
            <w:pPr>
              <w:pStyle w:val="Normal"/>
              <w:pBdr>
                <w:bottom w:val="double" w:sz="4" w:space="1" w:color="000000"/>
              </w:pBdr>
              <w:tabs>
                <w:tab w:val="clear" w:pos="720"/>
                <w:tab w:val="right" w:pos="4932" w:leader="none"/>
                <w:tab w:val="right" w:pos="10800" w:leader="none"/>
              </w:tabs>
              <w:suppressAutoHyphens w:val="true"/>
              <w:rPr/>
            </w:pPr>
            <w:r>
              <w:rPr/>
            </w:r>
          </w:p>
          <w:p>
            <w:pPr>
              <w:pStyle w:val="Normal"/>
              <w:pBdr>
                <w:bottom w:val="double" w:sz="4" w:space="1" w:color="000000"/>
              </w:pBdr>
              <w:tabs>
                <w:tab w:val="clear" w:pos="720"/>
                <w:tab w:val="right" w:pos="4932" w:leader="none"/>
                <w:tab w:val="right" w:pos="10800" w:leader="none"/>
              </w:tabs>
              <w:suppressAutoHyphens w:val="true"/>
              <w:rPr/>
            </w:pPr>
            <w:r>
              <w:rPr/>
            </w:r>
          </w:p>
          <w:p>
            <w:pPr>
              <w:pStyle w:val="Normal"/>
              <w:tabs>
                <w:tab w:val="clear" w:pos="720"/>
                <w:tab w:val="right" w:pos="4932" w:leader="none"/>
                <w:tab w:val="right" w:pos="10800" w:leader="none"/>
              </w:tabs>
              <w:suppressAutoHyphens w:val="true"/>
              <w:rPr/>
            </w:pPr>
            <w:r>
              <w:rPr/>
            </w:r>
          </w:p>
          <w:p>
            <w:pPr>
              <w:pStyle w:val="Normal"/>
              <w:tabs>
                <w:tab w:val="clear" w:pos="720"/>
                <w:tab w:val="right" w:pos="4932" w:leader="none"/>
                <w:tab w:val="right" w:pos="10800" w:leader="none"/>
              </w:tabs>
              <w:suppressAutoHyphens w:val="true"/>
              <w:jc w:val="center"/>
              <w:rPr>
                <w:b/>
              </w:rPr>
            </w:pPr>
            <w:r>
              <w:rPr>
                <w:b/>
              </w:rPr>
              <w:t>STATEMENT OF CLAIM</w:t>
            </w:r>
          </w:p>
          <w:p>
            <w:pPr>
              <w:pStyle w:val="Normal"/>
              <w:pBdr>
                <w:bottom w:val="double" w:sz="4" w:space="1" w:color="000000"/>
              </w:pBdr>
              <w:tabs>
                <w:tab w:val="clear" w:pos="720"/>
                <w:tab w:val="right" w:pos="4932" w:leader="none"/>
                <w:tab w:val="right" w:pos="10800" w:leader="none"/>
              </w:tabs>
              <w:suppressAutoHyphens w:val="true"/>
              <w:rPr>
                <w:b/>
              </w:rPr>
            </w:pPr>
            <w:r>
              <w:rPr>
                <w:b/>
              </w:rPr>
            </w:r>
          </w:p>
          <w:p>
            <w:pPr>
              <w:pStyle w:val="Normal"/>
              <w:tabs>
                <w:tab w:val="clear" w:pos="720"/>
                <w:tab w:val="right" w:pos="4932" w:leader="none"/>
                <w:tab w:val="right" w:pos="10800" w:leader="none"/>
              </w:tabs>
              <w:suppressAutoHyphens w:val="true"/>
              <w:rPr>
                <w:b/>
              </w:rPr>
            </w:pPr>
            <w:r>
              <w:rPr>
                <w:b/>
              </w:rPr>
            </w:r>
          </w:p>
          <w:p>
            <w:pPr>
              <w:pStyle w:val="Normal"/>
              <w:tabs>
                <w:tab w:val="clear" w:pos="720"/>
                <w:tab w:val="right" w:pos="4932" w:leader="none"/>
                <w:tab w:val="right" w:pos="10800" w:leader="none"/>
              </w:tabs>
              <w:suppressAutoHyphens w:val="true"/>
              <w:jc w:val="center"/>
              <w:rPr/>
            </w:pPr>
            <w:r>
              <w:rPr/>
              <w:t>This Statement of Claim is delivered by:</w:t>
            </w:r>
          </w:p>
          <w:p>
            <w:pPr>
              <w:pStyle w:val="Normal"/>
              <w:tabs>
                <w:tab w:val="clear" w:pos="720"/>
                <w:tab w:val="right" w:pos="4932" w:leader="none"/>
                <w:tab w:val="right" w:pos="10800" w:leader="none"/>
              </w:tabs>
              <w:suppressAutoHyphens w:val="true"/>
              <w:jc w:val="center"/>
              <w:rPr/>
            </w:pPr>
            <w:r>
              <w:rPr/>
            </w:r>
          </w:p>
          <w:p>
            <w:pPr>
              <w:pStyle w:val="Normal"/>
              <w:tabs>
                <w:tab w:val="clear" w:pos="720"/>
                <w:tab w:val="right" w:pos="4932" w:leader="none"/>
                <w:tab w:val="right" w:pos="10800" w:leader="none"/>
              </w:tabs>
              <w:suppressAutoHyphens w:val="true"/>
              <w:jc w:val="center"/>
              <w:rPr>
                <w:b/>
              </w:rPr>
            </w:pPr>
            <w:r>
              <w:rPr>
                <w:b/>
              </w:rPr>
              <w:t>BLAKE, CASSELS &amp; GRAYDON LLP</w:t>
            </w:r>
          </w:p>
          <w:p>
            <w:pPr>
              <w:pStyle w:val="Normal"/>
              <w:tabs>
                <w:tab w:val="clear" w:pos="720"/>
                <w:tab w:val="right" w:pos="4932" w:leader="none"/>
                <w:tab w:val="right" w:pos="10800" w:leader="none"/>
              </w:tabs>
              <w:suppressAutoHyphens w:val="true"/>
              <w:jc w:val="center"/>
              <w:rPr/>
            </w:pPr>
            <w:r>
              <w:rPr/>
              <w:t>Barristers and Solicitors</w:t>
            </w:r>
          </w:p>
          <w:p>
            <w:pPr>
              <w:pStyle w:val="Normal"/>
              <w:tabs>
                <w:tab w:val="clear" w:pos="720"/>
                <w:tab w:val="right" w:pos="4932" w:leader="none"/>
                <w:tab w:val="right" w:pos="10800" w:leader="none"/>
              </w:tabs>
              <w:suppressAutoHyphens w:val="true"/>
              <w:jc w:val="center"/>
              <w:rPr/>
            </w:pPr>
            <w:r>
              <w:rPr/>
              <w:t>3500, 855 – 2</w:t>
            </w:r>
            <w:r>
              <w:rPr>
                <w:vertAlign w:val="superscript"/>
              </w:rPr>
              <w:t>nd</w:t>
            </w:r>
            <w:r>
              <w:rPr/>
              <w:t xml:space="preserve"> Street S.W.</w:t>
            </w:r>
          </w:p>
          <w:p>
            <w:pPr>
              <w:pStyle w:val="Normal"/>
              <w:tabs>
                <w:tab w:val="clear" w:pos="720"/>
                <w:tab w:val="right" w:pos="4932" w:leader="none"/>
                <w:tab w:val="right" w:pos="10800" w:leader="none"/>
              </w:tabs>
              <w:suppressAutoHyphens w:val="true"/>
              <w:jc w:val="center"/>
              <w:rPr/>
            </w:pPr>
            <w:r>
              <w:rPr/>
              <w:t>Calgary, Alberta  T2P 4J8</w:t>
            </w:r>
          </w:p>
          <w:p>
            <w:pPr>
              <w:pStyle w:val="Normal"/>
              <w:tabs>
                <w:tab w:val="clear" w:pos="720"/>
                <w:tab w:val="right" w:pos="4932" w:leader="none"/>
                <w:tab w:val="right" w:pos="10800" w:leader="none"/>
              </w:tabs>
              <w:suppressAutoHyphens w:val="true"/>
              <w:jc w:val="center"/>
              <w:rPr/>
            </w:pPr>
            <w:r>
              <w:rPr/>
            </w:r>
          </w:p>
          <w:p>
            <w:pPr>
              <w:pStyle w:val="Normal"/>
              <w:tabs>
                <w:tab w:val="clear" w:pos="720"/>
                <w:tab w:val="right" w:pos="4932" w:leader="none"/>
                <w:tab w:val="right" w:pos="10800" w:leader="none"/>
              </w:tabs>
              <w:suppressAutoHyphens w:val="true"/>
              <w:rPr/>
            </w:pPr>
            <w:r>
              <w:rPr/>
              <w:t>and is addressed to the Defendants whose business is Calgary, AB, Markham, ON, Vancouver, BC,  Stockholm, Sweden and Stouffville, ON (as far as is known to the Plaintiff).</w:t>
            </w:r>
          </w:p>
          <w:p>
            <w:pPr>
              <w:pStyle w:val="Normal"/>
              <w:tabs>
                <w:tab w:val="clear" w:pos="720"/>
                <w:tab w:val="right" w:pos="4932" w:leader="none"/>
                <w:tab w:val="right" w:pos="10800" w:leader="none"/>
              </w:tabs>
              <w:suppressAutoHyphens w:val="true"/>
              <w:rPr/>
            </w:pPr>
            <w:r>
              <w:rPr/>
            </w:r>
          </w:p>
          <w:p>
            <w:pPr>
              <w:pStyle w:val="Normal"/>
              <w:pBdr>
                <w:top w:val="single" w:sz="4" w:space="1" w:color="000000"/>
              </w:pBdr>
              <w:tabs>
                <w:tab w:val="clear" w:pos="720"/>
                <w:tab w:val="right" w:pos="4932" w:leader="none"/>
                <w:tab w:val="right" w:pos="10800" w:leader="none"/>
              </w:tabs>
              <w:suppressAutoHyphens w:val="true"/>
              <w:rPr/>
            </w:pPr>
            <w:r>
              <w:rPr/>
            </w:r>
          </w:p>
          <w:p>
            <w:pPr>
              <w:pStyle w:val="Normal"/>
              <w:pBdr>
                <w:top w:val="single" w:sz="4" w:space="1" w:color="000000"/>
              </w:pBdr>
              <w:tabs>
                <w:tab w:val="clear" w:pos="720"/>
                <w:tab w:val="right" w:pos="4932" w:leader="none"/>
                <w:tab w:val="right" w:pos="10800" w:leader="none"/>
              </w:tabs>
              <w:suppressAutoHyphens w:val="true"/>
              <w:jc w:val="center"/>
              <w:rPr/>
            </w:pPr>
            <w:r>
              <w:rPr/>
              <w:t>Dalton W. McGrath</w:t>
            </w:r>
          </w:p>
          <w:p>
            <w:pPr>
              <w:pStyle w:val="Normal"/>
              <w:pBdr>
                <w:top w:val="single" w:sz="4" w:space="1" w:color="000000"/>
              </w:pBdr>
              <w:tabs>
                <w:tab w:val="clear" w:pos="720"/>
                <w:tab w:val="right" w:pos="4932" w:leader="none"/>
                <w:tab w:val="right" w:pos="10800" w:leader="none"/>
              </w:tabs>
              <w:suppressAutoHyphens w:val="true"/>
              <w:jc w:val="center"/>
              <w:rPr/>
            </w:pPr>
            <w:r>
              <w:rPr/>
              <w:t>(t) 403-260-9654</w:t>
            </w:r>
          </w:p>
          <w:p>
            <w:pPr>
              <w:pStyle w:val="Normal"/>
              <w:pBdr>
                <w:top w:val="single" w:sz="4" w:space="1" w:color="000000"/>
              </w:pBdr>
              <w:tabs>
                <w:tab w:val="clear" w:pos="720"/>
                <w:tab w:val="right" w:pos="4932" w:leader="none"/>
                <w:tab w:val="right" w:pos="10800" w:leader="none"/>
              </w:tabs>
              <w:suppressAutoHyphens w:val="true"/>
              <w:jc w:val="center"/>
              <w:rPr/>
            </w:pPr>
            <w:r>
              <w:rPr/>
              <w:t>(f) 403-260-9700</w:t>
            </w:r>
          </w:p>
          <w:p>
            <w:pPr>
              <w:pStyle w:val="Normal"/>
              <w:pBdr>
                <w:top w:val="single" w:sz="4" w:space="1" w:color="000000"/>
              </w:pBdr>
              <w:tabs>
                <w:tab w:val="clear" w:pos="720"/>
                <w:tab w:val="right" w:pos="4932" w:leader="none"/>
                <w:tab w:val="right" w:pos="10800" w:leader="none"/>
              </w:tabs>
              <w:suppressAutoHyphens w:val="true"/>
              <w:jc w:val="center"/>
              <w:rPr/>
            </w:pPr>
            <w:r>
              <w:rPr/>
              <w:t>File No.:  83829/52</w:t>
            </w:r>
          </w:p>
        </w:tc>
      </w:tr>
    </w:tbl>
    <w:p>
      <w:pPr>
        <w:pStyle w:val="BodyText"/>
        <w:spacing w:before="0" w:after="240"/>
        <w:rPr/>
      </w:pPr>
      <w:r>
        <w:rPr/>
      </w:r>
    </w:p>
    <w:sectPr>
      <w:headerReference w:type="default" r:id="rId6"/>
      <w:headerReference w:type="first" r:id="rId7"/>
      <w:footerReference w:type="default" r:id="rId8"/>
      <w:footerReference w:type="first" r:id="rId9"/>
      <w:type w:val="nextPage"/>
      <w:pgSz w:w="12240" w:h="15840"/>
      <w:pgMar w:left="1008" w:right="1008"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30342475.5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30342475.5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30342475.5</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19</w:t>
    </w:r>
    <w:r>
      <w:rPr/>
      <w:fldChar w:fldCharType="end"/>
    </w:r>
    <w:r>
      <w:rPr/>
      <w:t xml:space="preserve"> -</w:t>
    </w:r>
  </w:p>
  <w:p>
    <w:pPr>
      <w:pStyle w:val="Header"/>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PART %1:  "/>
      <w:lvlJc w:val="start"/>
      <w:pPr>
        <w:tabs>
          <w:tab w:val="num" w:pos="0"/>
        </w:tabs>
        <w:ind w:start="360" w:hanging="360"/>
      </w:pPr>
      <w:rPr>
        <w:smallCaps w:val="false"/>
        <w:caps w:val="false"/>
        <w:outline w:val="false"/>
        <w:dstrike w:val="false"/>
        <w:strike w:val="false"/>
        <w:vertAlign w:val="baseline"/>
        <w:position w:val="0"/>
        <w:sz w:val="24"/>
        <w:sz w:val="24"/>
        <w:i w:val="false"/>
        <w:shadow w:val="false"/>
        <w:u w:val="single"/>
        <w:b/>
        <w:vanish w:val="false"/>
        <w:rFonts w:ascii="Times New Roman" w:hAnsi="Times New Roman" w:cs="Times New Roman"/>
        <w:color w:val="auto"/>
      </w:r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403"/>
      <w:numFmt w:val="bullet"/>
      <w:lvlText w:val="-"/>
      <w:lvlJc w:val="start"/>
      <w:pPr>
        <w:tabs>
          <w:tab w:val="num" w:pos="360"/>
        </w:tabs>
        <w:ind w:start="360" w:hanging="360"/>
      </w:pPr>
      <w:rPr>
        <w:rFonts w:ascii="Liberation Serif" w:hAnsi="Liberation Serif" w:cs="Liberation Serif"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lowerLetter"/>
      <w:lvlText w:val="%1)"/>
      <w:lvlJc w:val="start"/>
      <w:pPr>
        <w:tabs>
          <w:tab w:val="num" w:pos="360"/>
        </w:tabs>
        <w:ind w:start="360" w:hanging="360"/>
      </w:pPr>
    </w:lvl>
  </w:abstractNum>
  <w:abstractNum w:abstractNumId="9">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0">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docVars>
    <w:docVar w:name="zzmpFixedCurrentTOCScheme" w:val="Standard2"/>
    <w:docVar w:name="zzmpFixedCurScheme" w:val="Standard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lineRule="auto" w:line="312" w:before="0" w:after="240"/>
      <w:jc w:val="center"/>
      <w:outlineLvl w:val="0"/>
    </w:pPr>
    <w:rPr>
      <w:b/>
      <w:u w:val="single"/>
    </w:rPr>
  </w:style>
  <w:style w:type="paragraph" w:styleId="Heading2">
    <w:name w:val="heading 2"/>
    <w:basedOn w:val="Normal"/>
    <w:next w:val="BodyText"/>
    <w:qFormat/>
    <w:pPr>
      <w:keepNext w:val="true"/>
      <w:outlineLvl w:val="1"/>
    </w:pPr>
    <w:rPr>
      <w:b/>
    </w:rPr>
  </w:style>
  <w:style w:type="paragraph" w:styleId="Heading3">
    <w:name w:val="heading 3"/>
    <w:basedOn w:val="Normal"/>
    <w:next w:val="BodyText"/>
    <w:qFormat/>
    <w:pPr>
      <w:outlineLvl w:val="2"/>
    </w:pPr>
    <w:rPr>
      <w:b/>
    </w:rPr>
  </w:style>
  <w:style w:type="paragraph" w:styleId="Heading4">
    <w:name w:val="heading 4"/>
    <w:basedOn w:val="Normal"/>
    <w:next w:val="BodyText"/>
    <w:qFormat/>
    <w:pPr>
      <w:outlineLvl w:val="3"/>
    </w:pPr>
    <w:rPr>
      <w:b/>
    </w:rPr>
  </w:style>
  <w:style w:type="paragraph" w:styleId="Heading5">
    <w:name w:val="heading 5"/>
    <w:basedOn w:val="Normal"/>
    <w:next w:val="BodyText"/>
    <w:qFormat/>
    <w:pPr>
      <w:outlineLvl w:val="4"/>
    </w:pPr>
    <w:rPr>
      <w:b/>
    </w:rPr>
  </w:style>
  <w:style w:type="paragraph" w:styleId="Heading6">
    <w:name w:val="heading 6"/>
    <w:basedOn w:val="Normal"/>
    <w:next w:val="BodyText"/>
    <w:qFormat/>
    <w:pPr>
      <w:outlineLvl w:val="5"/>
    </w:pPr>
    <w:rPr>
      <w:b/>
    </w:rPr>
  </w:style>
  <w:style w:type="paragraph" w:styleId="Heading7">
    <w:name w:val="heading 7"/>
    <w:basedOn w:val="Normal"/>
    <w:next w:val="BodyText"/>
    <w:qFormat/>
    <w:pPr>
      <w:outlineLvl w:val="6"/>
    </w:pPr>
    <w:rPr>
      <w:b/>
    </w:rPr>
  </w:style>
  <w:style w:type="paragraph" w:styleId="Heading8">
    <w:name w:val="heading 8"/>
    <w:basedOn w:val="Normal"/>
    <w:next w:val="BodyText"/>
    <w:qFormat/>
    <w:pPr>
      <w:outlineLvl w:val="7"/>
    </w:pPr>
    <w:rPr>
      <w:b/>
    </w:rPr>
  </w:style>
  <w:style w:type="paragraph" w:styleId="Heading9">
    <w:name w:val="heading 9"/>
    <w:basedOn w:val="Normal"/>
    <w:next w:val="BodyText"/>
    <w:qFormat/>
    <w:pPr>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single"/>
      <w:vertAlign w:val="baseline"/>
    </w:rPr>
  </w:style>
  <w:style w:type="character" w:styleId="WW8Num15z0">
    <w:name w:val="WW8Num15z0"/>
    <w:qFormat/>
    <w:rPr>
      <w:rFonts w:ascii="Symbol" w:hAnsi="Symbol" w:cs="Symbol"/>
    </w:rPr>
  </w:style>
  <w:style w:type="character" w:styleId="WW8Num17z0">
    <w:name w:val="WW8Num17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8z0">
    <w:name w:val="WW8Num18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head1">
    <w:name w:val="head1"/>
    <w:basedOn w:val="Normal"/>
    <w:next w:val="Normal"/>
    <w:qFormat/>
    <w:pPr>
      <w:suppressAutoHyphens w:val="true"/>
      <w:spacing w:lineRule="auto" w:line="312" w:before="0" w:after="240"/>
      <w:jc w:val="center"/>
    </w:pPr>
    <w:rPr>
      <w:b/>
      <w:u w:val="single"/>
    </w:rPr>
  </w:style>
  <w:style w:type="paragraph" w:styleId="cite2">
    <w:name w:val="cite2"/>
    <w:basedOn w:val="Normal"/>
    <w:qFormat/>
    <w:pPr>
      <w:numPr>
        <w:ilvl w:val="0"/>
        <w:numId w:val="10"/>
      </w:numPr>
    </w:pPr>
    <w:rPr>
      <w:sz w:val="20"/>
    </w:rPr>
  </w:style>
  <w:style w:type="paragraph" w:styleId="cite1">
    <w:name w:val="cite1"/>
    <w:basedOn w:val="Normal"/>
    <w:qFormat/>
    <w:pPr>
      <w:numPr>
        <w:ilvl w:val="0"/>
        <w:numId w:val="7"/>
      </w:numPr>
    </w:pPr>
    <w:rPr>
      <w:sz w:val="20"/>
    </w:rPr>
  </w:style>
  <w:style w:type="paragraph" w:styleId="Quote">
    <w:name w:val="Quote"/>
    <w:basedOn w:val="Normal"/>
    <w:qFormat/>
    <w:pPr>
      <w:suppressAutoHyphens w:val="true"/>
      <w:spacing w:before="0" w:after="240"/>
      <w:ind w:hanging="0" w:start="720" w:end="720"/>
    </w:pPr>
    <w:rPr>
      <w:sz w:val="22"/>
    </w:rPr>
  </w:style>
  <w:style w:type="paragraph" w:styleId="head2">
    <w:name w:val="head2"/>
    <w:basedOn w:val="Normal"/>
    <w:next w:val="Normal"/>
    <w:qFormat/>
    <w:pPr>
      <w:spacing w:lineRule="auto" w:line="312" w:before="0" w:after="240"/>
    </w:pPr>
    <w:rPr>
      <w:b/>
    </w:rPr>
  </w:style>
  <w:style w:type="paragraph" w:styleId="head3">
    <w:name w:val="head3"/>
    <w:basedOn w:val="Normal"/>
    <w:next w:val="Normal"/>
    <w:qFormat/>
    <w:pPr>
      <w:keepNext w:val="true"/>
      <w:spacing w:lineRule="auto" w:line="360" w:before="0" w:after="240"/>
    </w:pPr>
    <w:rPr>
      <w:i/>
    </w:rPr>
  </w:style>
  <w:style w:type="paragraph" w:styleId="head4">
    <w:name w:val="head4"/>
    <w:basedOn w:val="Normal"/>
    <w:qFormat/>
    <w:pPr>
      <w:numPr>
        <w:ilvl w:val="0"/>
        <w:numId w:val="8"/>
      </w:numPr>
      <w:spacing w:lineRule="auto" w:line="360" w:before="0" w:after="240"/>
    </w:pPr>
    <w:rPr>
      <w:i/>
    </w:rPr>
  </w:style>
  <w:style w:type="paragraph" w:styleId="ListBullet3">
    <w:name w:val="List Bullet 3"/>
    <w:basedOn w:val="Normal"/>
    <w:qFormat/>
    <w:pPr>
      <w:numPr>
        <w:ilvl w:val="0"/>
        <w:numId w:val="3"/>
      </w:numPr>
      <w:spacing w:lineRule="auto" w:line="360" w:before="0" w:after="240"/>
      <w:jc w:val="start"/>
    </w:pPr>
    <w:rPr/>
  </w:style>
  <w:style w:type="paragraph" w:styleId="ListBullet4">
    <w:name w:val="List Bullet 4"/>
    <w:basedOn w:val="Normal"/>
    <w:qFormat/>
    <w:pPr>
      <w:numPr>
        <w:ilvl w:val="0"/>
        <w:numId w:val="2"/>
      </w:numPr>
      <w:spacing w:lineRule="auto" w:line="360" w:before="0" w:after="240"/>
      <w:jc w:val="start"/>
    </w:pPr>
    <w:rPr/>
  </w:style>
  <w:style w:type="paragraph" w:styleId="ListBullet">
    <w:name w:val="List Bullet"/>
    <w:basedOn w:val="Normal"/>
    <w:qFormat/>
    <w:pPr>
      <w:numPr>
        <w:ilvl w:val="0"/>
        <w:numId w:val="4"/>
      </w:numPr>
      <w:tabs>
        <w:tab w:val="left" w:pos="720" w:leader="none"/>
      </w:tabs>
      <w:spacing w:before="0" w:after="240"/>
      <w:ind w:hanging="720" w:start="720" w:end="0"/>
    </w:pPr>
    <w:rPr/>
  </w:style>
  <w:style w:type="paragraph" w:styleId="StandardL1">
    <w:name w:val="Standard_L1"/>
    <w:basedOn w:val="Normal"/>
    <w:next w:val="Normal"/>
    <w:qFormat/>
    <w:pPr>
      <w:numPr>
        <w:ilvl w:val="0"/>
        <w:numId w:val="7"/>
      </w:numPr>
      <w:tabs>
        <w:tab w:val="left" w:pos="720" w:leader="none"/>
      </w:tabs>
      <w:spacing w:lineRule="auto" w:line="360" w:before="0" w:after="240"/>
      <w:ind w:hanging="720" w:start="720" w:end="0"/>
      <w:outlineLvl w:val="0"/>
    </w:pPr>
    <w:rPr>
      <w:lang w:val="en-US"/>
    </w:rPr>
  </w:style>
  <w:style w:type="paragraph" w:styleId="NumContinue">
    <w:name w:val="Num Continue"/>
    <w:basedOn w:val="BodyText"/>
    <w:qFormat/>
    <w:pPr>
      <w:spacing w:lineRule="auto" w:line="360"/>
    </w:pPr>
    <w:rPr/>
  </w:style>
  <w:style w:type="paragraph" w:styleId="Standard2L1">
    <w:name w:val="Standard2_L1"/>
    <w:basedOn w:val="Normal"/>
    <w:next w:val="NumContinue"/>
    <w:qFormat/>
    <w:pPr>
      <w:numPr>
        <w:ilvl w:val="0"/>
        <w:numId w:val="9"/>
      </w:numPr>
      <w:spacing w:lineRule="auto" w:line="360" w:before="0" w:after="240"/>
      <w:outlineLvl w:val="0"/>
    </w:pPr>
    <w:rPr>
      <w:lang w:val="en-US"/>
    </w:rPr>
  </w:style>
  <w:style w:type="paragraph" w:styleId="Standard2L2">
    <w:name w:val="Standard2_L2"/>
    <w:basedOn w:val="Standard2L1"/>
    <w:next w:val="NumContinue"/>
    <w:qFormat/>
    <w:pPr>
      <w:numPr>
        <w:ilvl w:val="0"/>
        <w:numId w:val="9"/>
      </w:numPr>
      <w:outlineLvl w:val="1"/>
    </w:pPr>
    <w:rPr/>
  </w:style>
  <w:style w:type="paragraph" w:styleId="Standard2L3">
    <w:name w:val="Standard2_L3"/>
    <w:basedOn w:val="Standard2L2"/>
    <w:next w:val="NumContinue"/>
    <w:qFormat/>
    <w:pPr>
      <w:numPr>
        <w:ilvl w:val="0"/>
        <w:numId w:val="9"/>
      </w:numPr>
      <w:outlineLvl w:val="2"/>
    </w:pPr>
    <w:rPr/>
  </w:style>
  <w:style w:type="paragraph" w:styleId="Standard2L4">
    <w:name w:val="Standard2_L4"/>
    <w:basedOn w:val="Standard2L3"/>
    <w:next w:val="NumContinue"/>
    <w:qFormat/>
    <w:pPr>
      <w:numPr>
        <w:ilvl w:val="0"/>
        <w:numId w:val="9"/>
      </w:numPr>
      <w:outlineLvl w:val="3"/>
    </w:pPr>
    <w:rPr/>
  </w:style>
  <w:style w:type="paragraph" w:styleId="Standard2L5">
    <w:name w:val="Standard2_L5"/>
    <w:basedOn w:val="Standard2L4"/>
    <w:next w:val="NumContinue"/>
    <w:qFormat/>
    <w:pPr>
      <w:numPr>
        <w:ilvl w:val="0"/>
        <w:numId w:val="9"/>
      </w:numPr>
      <w:outlineLvl w:val="4"/>
    </w:pPr>
    <w:rPr/>
  </w:style>
  <w:style w:type="paragraph" w:styleId="Standard2L6">
    <w:name w:val="Standard2_L6"/>
    <w:basedOn w:val="Standard2L5"/>
    <w:next w:val="NumContinue"/>
    <w:qFormat/>
    <w:pPr>
      <w:numPr>
        <w:ilvl w:val="0"/>
        <w:numId w:val="9"/>
      </w:numPr>
      <w:outlineLvl w:val="5"/>
    </w:pPr>
    <w:rPr/>
  </w:style>
  <w:style w:type="paragraph" w:styleId="Standard2L7">
    <w:name w:val="Standard2_L7"/>
    <w:basedOn w:val="Standard2L6"/>
    <w:next w:val="NumContinue"/>
    <w:qFormat/>
    <w:pPr>
      <w:numPr>
        <w:ilvl w:val="0"/>
        <w:numId w:val="9"/>
      </w:numPr>
      <w:outlineLvl w:val="6"/>
    </w:pPr>
    <w:rPr/>
  </w:style>
  <w:style w:type="paragraph" w:styleId="Standard2L8">
    <w:name w:val="Standard2_L8"/>
    <w:basedOn w:val="Standard2L7"/>
    <w:next w:val="NumContinue"/>
    <w:qFormat/>
    <w:pPr>
      <w:numPr>
        <w:ilvl w:val="0"/>
        <w:numId w:val="9"/>
      </w:numPr>
      <w:outlineLvl w:val="7"/>
    </w:pPr>
    <w:rPr/>
  </w:style>
  <w:style w:type="paragraph" w:styleId="Standard2L9">
    <w:name w:val="Standard2_L9"/>
    <w:basedOn w:val="Standard2L8"/>
    <w:next w:val="NumContinue"/>
    <w:qFormat/>
    <w:pPr>
      <w:numPr>
        <w:ilvl w:val="0"/>
        <w:numId w:val="9"/>
      </w:numPr>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2000-11-28T12:58:00Z</dcterms:created>
  <dc:creator>pmg</dc:creator>
  <dc:description/>
  <dc:language>en-CA</dc:language>
  <cp:lastModifiedBy>pmg</cp:lastModifiedBy>
  <cp:lastPrinted>2000-11-29T13:06:00Z</cp:lastPrinted>
  <dcterms:modified xsi:type="dcterms:W3CDTF">2000-11-30T17:38:00Z</dcterms:modified>
  <cp:revision>37</cp:revision>
  <dc:subject/>
  <dc:title>IN THE COURT OF QUEEN’S BENCH OF ALBERTA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30342475.5</vt:lpwstr>
  </property>
</Properties>
</file>