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jc w:val="center"/>
        <w:rPr>
          <w:b/>
          <w:sz w:val="22"/>
        </w:rPr>
      </w:pPr>
      <w:r>
        <w:rPr>
          <w:b/>
          <w:sz w:val="22"/>
        </w:rPr>
        <w:t>SALOMON SMITH BARNEY INC.</w:t>
      </w:r>
    </w:p>
    <w:p>
      <w:pPr>
        <w:pStyle w:val="Normal"/>
        <w:spacing w:before="0" w:after="120"/>
        <w:jc w:val="center"/>
        <w:rPr>
          <w:b/>
          <w:sz w:val="22"/>
        </w:rPr>
      </w:pPr>
      <w:r>
        <w:rPr>
          <w:b/>
          <w:sz w:val="22"/>
        </w:rPr>
        <w:t>CLIENT ELECTRONIC TRADING AGREEMENT</w:t>
      </w:r>
    </w:p>
    <w:p>
      <w:pPr>
        <w:pStyle w:val="Normal"/>
        <w:spacing w:before="0" w:after="120"/>
        <w:jc w:val="center"/>
        <w:rPr>
          <w:b/>
          <w:sz w:val="22"/>
        </w:rPr>
      </w:pPr>
      <w:r>
        <w:rPr>
          <w:b/>
          <w:sz w:val="22"/>
        </w:rPr>
        <w:t>TRADING THROUGH AN EXTERNAL VENDOR</w:t>
      </w:r>
    </w:p>
    <w:p>
      <w:pPr>
        <w:pStyle w:val="Normal"/>
        <w:spacing w:before="0" w:after="120"/>
        <w:jc w:val="center"/>
        <w:rPr>
          <w:b/>
          <w:sz w:val="22"/>
        </w:rPr>
      </w:pPr>
      <w:r>
        <w:rPr>
          <w:b/>
          <w:sz w:val="22"/>
        </w:rPr>
        <w:t>(“Agreement”)</w:t>
      </w:r>
    </w:p>
    <w:p>
      <w:pPr>
        <w:pStyle w:val="Boldheading"/>
        <w:spacing w:before="0" w:after="120"/>
        <w:rPr/>
      </w:pPr>
      <w:r>
        <w:rPr/>
        <w:t>BETWEEN:</w:t>
      </w:r>
    </w:p>
    <w:tbl>
      <w:tblPr>
        <w:tblW w:w="9360" w:type="dxa"/>
        <w:jc w:val="start"/>
        <w:tblInd w:w="648" w:type="dxa"/>
        <w:tblLayout w:type="fixed"/>
        <w:tblCellMar>
          <w:top w:w="0" w:type="dxa"/>
          <w:start w:w="108" w:type="dxa"/>
          <w:bottom w:w="0" w:type="dxa"/>
          <w:end w:w="108" w:type="dxa"/>
        </w:tblCellMar>
      </w:tblPr>
      <w:tblGrid>
        <w:gridCol w:w="4212"/>
        <w:gridCol w:w="659"/>
        <w:gridCol w:w="4489"/>
      </w:tblGrid>
      <w:tr>
        <w:trPr/>
        <w:tc>
          <w:tcPr>
            <w:tcW w:w="4212" w:type="dxa"/>
            <w:tcBorders/>
          </w:tcPr>
          <w:p>
            <w:pPr>
              <w:pStyle w:val="Normal"/>
              <w:tabs>
                <w:tab w:val="clear" w:pos="720"/>
                <w:tab w:val="left" w:pos="4050" w:leader="none"/>
              </w:tabs>
              <w:spacing w:before="0" w:after="120"/>
              <w:rPr>
                <w:b/>
              </w:rPr>
            </w:pPr>
            <w:r>
              <w:rPr>
                <w:b/>
              </w:rPr>
              <w:t>SALOMON SMITH BARNEY INC.</w:t>
              <w:br/>
              <w:t xml:space="preserve">with a principal office at </w:t>
            </w:r>
          </w:p>
          <w:p>
            <w:pPr>
              <w:pStyle w:val="Normal"/>
              <w:tabs>
                <w:tab w:val="clear" w:pos="720"/>
                <w:tab w:val="left" w:pos="4050" w:leader="none"/>
              </w:tabs>
              <w:spacing w:before="0" w:after="120"/>
              <w:rPr>
                <w:b/>
              </w:rPr>
            </w:pPr>
            <w:r>
              <w:rPr>
                <w:b/>
              </w:rPr>
              <w:t>390 Greenwich Street</w:t>
              <w:br/>
              <w:t>New York, New York  10013 (“Salomon”)</w:t>
            </w:r>
            <w:r>
              <w:rPr>
                <w:b/>
                <w:u w:val="single"/>
              </w:rPr>
              <w:br/>
              <w:t>Attn</w:t>
            </w:r>
            <w:r>
              <w:rPr>
                <w:b/>
              </w:rPr>
              <w:t xml:space="preserve">:  </w:t>
            </w:r>
            <w:r>
              <w:rPr>
                <w:b/>
                <w:u w:val="single"/>
              </w:rPr>
              <w:tab/>
            </w:r>
          </w:p>
        </w:tc>
        <w:tc>
          <w:tcPr>
            <w:tcW w:w="659" w:type="dxa"/>
            <w:tcBorders/>
          </w:tcPr>
          <w:p>
            <w:pPr>
              <w:pStyle w:val="Normal"/>
              <w:spacing w:before="0" w:after="120"/>
              <w:rPr>
                <w:b/>
              </w:rPr>
            </w:pPr>
            <w:r>
              <w:rPr>
                <w:b/>
              </w:rPr>
              <w:t>and</w:t>
            </w:r>
          </w:p>
        </w:tc>
        <w:tc>
          <w:tcPr>
            <w:tcW w:w="4489" w:type="dxa"/>
            <w:tcBorders/>
          </w:tcPr>
          <w:p>
            <w:pPr>
              <w:pStyle w:val="Normal"/>
              <w:tabs>
                <w:tab w:val="clear" w:pos="720"/>
                <w:tab w:val="left" w:pos="4135" w:leader="none"/>
              </w:tabs>
              <w:spacing w:before="0" w:after="120"/>
              <w:rPr>
                <w:b/>
                <w:u w:val="single"/>
              </w:rPr>
            </w:pPr>
            <w:r>
              <w:rPr>
                <w:b/>
                <w:u w:val="single"/>
              </w:rPr>
              <w:tab/>
              <w:br/>
              <w:tab/>
            </w:r>
          </w:p>
          <w:p>
            <w:pPr>
              <w:pStyle w:val="Normal"/>
              <w:tabs>
                <w:tab w:val="clear" w:pos="720"/>
                <w:tab w:val="right" w:pos="4135" w:leader="none"/>
              </w:tabs>
              <w:spacing w:before="0" w:after="120"/>
              <w:rPr>
                <w:b/>
                <w:u w:val="single"/>
              </w:rPr>
            </w:pPr>
            <w:r>
              <w:rPr>
                <w:b/>
                <w:u w:val="single"/>
              </w:rPr>
              <w:tab/>
            </w:r>
            <w:r>
              <w:rPr>
                <w:b/>
              </w:rPr>
              <w:t>(“Client”)</w:t>
            </w:r>
          </w:p>
          <w:p>
            <w:pPr>
              <w:pStyle w:val="Normal"/>
              <w:tabs>
                <w:tab w:val="clear" w:pos="720"/>
                <w:tab w:val="left" w:pos="4135" w:leader="none"/>
              </w:tabs>
              <w:spacing w:before="0" w:after="120"/>
              <w:rPr>
                <w:b/>
              </w:rPr>
            </w:pPr>
            <w:r>
              <w:rPr>
                <w:b/>
                <w:u w:val="single"/>
              </w:rPr>
              <w:t>Attn</w:t>
            </w:r>
            <w:r>
              <w:rPr>
                <w:b/>
              </w:rPr>
              <w:t xml:space="preserve">:  </w:t>
            </w:r>
            <w:r>
              <w:rPr>
                <w:b/>
                <w:u w:val="single"/>
              </w:rPr>
              <w:tab/>
            </w:r>
          </w:p>
        </w:tc>
      </w:tr>
    </w:tbl>
    <w:p>
      <w:pPr>
        <w:pStyle w:val="Normal"/>
        <w:spacing w:before="240" w:after="120"/>
        <w:rPr>
          <w:b/>
        </w:rPr>
      </w:pPr>
      <w:r>
        <w:rPr>
          <w:b/>
        </w:rPr>
        <w:t>Trading Through:</w:t>
      </w:r>
      <w:r>
        <w:rPr>
          <w:rFonts w:cs="Arial" w:ascii="Arial" w:hAnsi="Arial"/>
        </w:rPr>
        <w:t xml:space="preserve"> </w:t>
      </w:r>
    </w:p>
    <w:p>
      <w:pPr>
        <w:pStyle w:val="Normal"/>
        <w:spacing w:before="240" w:after="120"/>
        <w:rPr>
          <w:sz w:val="22"/>
        </w:rPr>
      </w:pPr>
      <w:r>
        <w:rPr>
          <w:b/>
        </w:rPr>
        <w:t>Effective Date of Agreement:  ______________________</w:t>
      </w:r>
    </w:p>
    <w:p>
      <w:pPr>
        <w:pStyle w:val="Normal"/>
        <w:spacing w:before="0" w:after="120"/>
        <w:rPr>
          <w:b/>
          <w:sz w:val="22"/>
        </w:rPr>
      </w:pPr>
      <w:r>
        <w:rPr>
          <w:sz w:val="22"/>
        </w:rPr>
        <w:t>Salomon and Client agree as follows:</w:t>
      </w:r>
    </w:p>
    <w:p>
      <w:pPr>
        <w:sectPr>
          <w:footerReference w:type="default" r:id="rId2"/>
          <w:footerReference w:type="first" r:id="rId3"/>
          <w:type w:val="nextPage"/>
          <w:pgSz w:w="12240" w:h="15840"/>
          <w:pgMar w:left="1440" w:right="1080" w:gutter="0" w:header="0" w:top="720" w:footer="576" w:bottom="720"/>
          <w:pgNumType w:start="1" w:fmt="decimal"/>
          <w:formProt w:val="false"/>
          <w:titlePg/>
          <w:textDirection w:val="lrTb"/>
          <w:docGrid w:type="default" w:linePitch="360" w:charSpace="0"/>
        </w:sectPr>
      </w:pPr>
    </w:p>
    <w:p>
      <w:pPr>
        <w:pStyle w:val="Normal"/>
        <w:keepNext w:val="true"/>
        <w:keepLines/>
        <w:tabs>
          <w:tab w:val="clear" w:pos="720"/>
          <w:tab w:val="left" w:pos="4320" w:leader="none"/>
          <w:tab w:val="left" w:pos="5040" w:leader="none"/>
          <w:tab w:val="left" w:pos="9360" w:leader="none"/>
        </w:tabs>
        <w:jc w:val="both"/>
        <w:rPr/>
      </w:pPr>
      <w:r>
        <w:rPr/>
        <w:t>The following confirms the terms and conditions under which Client will place securities orders for execution (“Orders”) with  Salomon through an external  Vendor-provided electronic trading interface connecting Client’s trading facility to an interface developed by Salomon using the Financial Information Exchange protocol (the “System”) and certain telecommunications systems:</w:t>
      </w:r>
    </w:p>
    <w:p>
      <w:pPr>
        <w:pStyle w:val="Normal"/>
        <w:keepNext w:val="true"/>
        <w:keepLines/>
        <w:tabs>
          <w:tab w:val="clear" w:pos="720"/>
          <w:tab w:val="left" w:pos="4320" w:leader="none"/>
          <w:tab w:val="left" w:pos="5040" w:leader="none"/>
          <w:tab w:val="left" w:pos="9360" w:leader="none"/>
        </w:tabs>
        <w:jc w:val="both"/>
        <w:rPr/>
      </w:pPr>
      <w:r>
        <w:rPr/>
      </w:r>
    </w:p>
    <w:p>
      <w:pPr>
        <w:pStyle w:val="Normal"/>
        <w:keepNext w:val="true"/>
        <w:keepLines/>
        <w:tabs>
          <w:tab w:val="clear" w:pos="720"/>
          <w:tab w:val="left" w:pos="1440" w:leader="none"/>
          <w:tab w:val="left" w:pos="2880" w:leader="none"/>
          <w:tab w:val="left" w:pos="4320" w:leader="none"/>
          <w:tab w:val="left" w:pos="5040" w:leader="none"/>
          <w:tab w:val="left" w:pos="5760" w:leader="none"/>
          <w:tab w:val="left" w:pos="7200" w:leader="none"/>
          <w:tab w:val="left" w:pos="9360" w:leader="none"/>
        </w:tabs>
        <w:jc w:val="both"/>
        <w:rPr/>
      </w:pPr>
      <w:r>
        <w:rPr/>
        <w:t xml:space="preserve">1.  </w:t>
      </w:r>
      <w:r>
        <w:rPr>
          <w:u w:val="single"/>
        </w:rPr>
        <w:t>Charges</w:t>
      </w:r>
      <w:r>
        <w:rPr/>
        <w:t>.  Client shall pay to Salomon mutually agreed upon commissions, charges, fees, mark-ups and mark-downs for the execution of Orders.  Client shall pay any telecommunications charges and other expenses billed to Client by Salomon or Vendor relating to its transmission of Orders.</w:t>
      </w:r>
    </w:p>
    <w:p>
      <w:pPr>
        <w:pStyle w:val="Normal"/>
        <w:keepNext w:val="true"/>
        <w:keepLines/>
        <w:tabs>
          <w:tab w:val="clear" w:pos="720"/>
          <w:tab w:val="left" w:pos="1440" w:leader="none"/>
          <w:tab w:val="left" w:pos="2880" w:leader="none"/>
          <w:tab w:val="left" w:pos="4320" w:leader="none"/>
          <w:tab w:val="left" w:pos="5040" w:leader="none"/>
          <w:tab w:val="left" w:pos="5760" w:leader="none"/>
          <w:tab w:val="left" w:pos="7200" w:leader="none"/>
          <w:tab w:val="left" w:pos="9360" w:leader="none"/>
        </w:tabs>
        <w:jc w:val="both"/>
        <w:rPr/>
      </w:pPr>
      <w:r>
        <w:rPr/>
      </w:r>
    </w:p>
    <w:p>
      <w:pPr>
        <w:pStyle w:val="LeftHeading"/>
        <w:jc w:val="both"/>
        <w:rPr/>
      </w:pPr>
      <w:r>
        <w:rPr/>
        <w:t xml:space="preserve">2.  </w:t>
      </w:r>
      <w:r>
        <w:rPr>
          <w:u w:val="single"/>
        </w:rPr>
        <w:t>Use of the System</w:t>
      </w:r>
      <w:r>
        <w:rPr/>
        <w:t>.  Client shall use the System solely for its own internal use and only in conformity with the terms and conditions of this Agreement.</w:t>
      </w:r>
    </w:p>
    <w:p>
      <w:pPr>
        <w:pStyle w:val="LeftHeading"/>
        <w:jc w:val="both"/>
        <w:rPr/>
      </w:pPr>
      <w:r>
        <w:rPr/>
        <w:t xml:space="preserve">3.  </w:t>
      </w:r>
      <w:r>
        <w:rPr>
          <w:u w:val="single"/>
        </w:rPr>
        <w:t>Client Responsibilities</w:t>
      </w:r>
      <w:r>
        <w:rPr/>
        <w:t xml:space="preserve">  Client shall be responsible for (i) maintaining all Salomon provided equipment, if any, used by Client at Client’s site in connection with the System, and (ii) ensuring the security of the System. Client represents and warrants that only persons authorized by Client will access the System.  Client shall be responsible for the actions of any persons, authorized or unauthorized, who gain access to the System.  All Orders shall be authorized by Client, sent by a duly authorized representative of Client, and are for the account of Client or an account over which Client has investment discretion or for a trade for which Client has received express consent; Client shall be responsible for following the Procedures and abiding by the Currency and Share and/or Market Value Limits contained in Exhibit A (collectively, the “Limits”) which are incorporated herein.  Client agrees to indemnify Salomon, in accordance with Section 8, for all loss or damage that Salomon sustains as a result of any breaches of the foregoing obligations directly or indirectly caused by Client, or by Client’s use of the System, including, without limitation, any unauthorized access to the System.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pPr>
      <w:r>
        <w:rPr/>
        <w:t xml:space="preserve">4. </w:t>
      </w:r>
      <w:r>
        <w:rPr>
          <w:u w:val="single"/>
        </w:rPr>
        <w:t>Client Acknowledgments and Consents</w:t>
      </w:r>
      <w:r>
        <w:rPr/>
        <w:t>.  Client hereby acknowledges and consents to the following: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pPr>
      <w:r>
        <w:rPr/>
        <w:t>4.1  Salomon is not undertaking to manage money or provide advice with respect to the value of securities or as to the advisability of investing in, purchasing or selling securities or to act as a fiduciary with respect to any of Client’s accounts;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pPr>
      <w:r>
        <w:rPr/>
        <w:t>4.2  Client acknowledges that Salomon shall not be deemed to have received any Order from Client until Salomon actually acknowledges receipt thereof.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pPr>
      <w:r>
        <w:rPr/>
        <w:t>4.3  Client acknowledges that in various markets there are rules and regulations that apply with respect to Orders or transactions that may be entered into by Client.  To the extent that such rules and regulations apply to Client or to Client’s transactions, Client agrees to comply with all procedures and requests for information, documents and agreements made by Salomon.  Client understands that Salomon may report such information to such regulatory authorities as Salomon determines to be necessary.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pPr>
      <w:r>
        <w:rPr/>
        <w:t>4.4(a)  Orders for the purchase or sale of securities sent by Client to Salomon for execution through the System may not exceed (i) on any business day, the currency amount in aggregate market value (exclusive of all commissions and similar charges) set forth in Exhibit A hereto (the “Currency Limit”) and (ii) on a per order basis, as to any individual security, the number of shares or market value set forth in Exhibit A (for each exchange, the “Share and/or Market Value Limit”); Client may exceed the Currency Limit or Share and/or Market Value Limit for each respective exchange only by obtaining Salomon’s prior written consent (which may be provided by facsimile).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pPr>
      <w:r>
        <w:rPr/>
        <w:t>(b)  If Client’s Orders exceed the Currency Limit or the Share and/or Market Value Limit set forth in Exhibit A without Salomon’s written consent, Client shall (i) notify Salomon immediately, (ii) place further orders with Salomon only after receiving Salomon’s written consent and (iii) promptly take such other action as Salomon shall reasonably require.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i/>
          <w:i/>
        </w:rPr>
      </w:pPr>
      <w:r>
        <w:rPr/>
        <w:t>(c)   The Limits set forth in Exhibit A only apply to Orders sent for execution by means of indirect electronic access via the System to the Order processing systems of various securities exchanges.  Orders which are designated as “Block or manual”, (“Block” for purposes of this Agreement shall mean Orders which will actually be seen by an employee of Salomon before being sent to various securities exchanges), are not subject to the Limits.  Client also acknowledges that the Limits may be different for various markets, and Salomon shall notify the Client of any such changes in Limits.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i/>
          <w:i/>
        </w:rPr>
      </w:pPr>
      <w:r>
        <w:rPr>
          <w:i/>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pPr>
      <w:r>
        <w:rPr/>
        <w:t>4.5  Client acknowledges that price and quantity data transmitted electronically is sent for information purposes only.  Binding transaction terms and conditions appear only on Salomon’s standard confirmation.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pPr>
      <w:r>
        <w:rPr/>
      </w:r>
    </w:p>
    <w:p>
      <w:pPr>
        <w:pStyle w:val="LeftHeading"/>
        <w:jc w:val="both"/>
        <w:rPr/>
      </w:pPr>
      <w:r>
        <w:rPr/>
        <w:t xml:space="preserve">5.  </w:t>
      </w:r>
      <w:r>
        <w:rPr>
          <w:u w:val="single"/>
        </w:rPr>
        <w:t>Client Warranties</w:t>
      </w:r>
      <w:r>
        <w:rPr/>
        <w:t>.  Client represents and warrants (i) that this Agreement is a legal, valid and binding obligation of Client, enforceable against Client in accordance with its terms and the person executing this Agreement on behalf of Client has all authorizations required to do so and (ii) as to all additional representations and warranties, if any, set forth in the Schedules and Attachments.</w:t>
      </w:r>
    </w:p>
    <w:p>
      <w:pPr>
        <w:pStyle w:val="LeftHeading"/>
        <w:jc w:val="both"/>
        <w:rPr/>
      </w:pPr>
      <w:r>
        <w:rPr/>
        <w:t xml:space="preserve">6.  </w:t>
      </w:r>
      <w:r>
        <w:rPr>
          <w:u w:val="single"/>
        </w:rPr>
        <w:t>LIMITED REMEDIES; EXCLUSION OF SALOMON WARRANTIES</w:t>
      </w:r>
      <w:r>
        <w:rPr/>
        <w:t>.  Provided that Client has notified Salomon in reasonable detail and in a timely manner of any problems experienced in use of the System, Salomon will use reasonable efforts to correct such problems within a reasonable period of time (but without further liability if Salomon is unable to do so).  EXCEPT AS AFORESAID, THE SYSTEM IS PROVIDED ON AN “AS IS” BASIS AT CLIENT’S SOLE RISK, AND NEITHER SALOMON NOR ANY SALOMON ASSOCIATE MAKES ANY REPRESENTATION OR WARRANTY, EXPRESS OR IMPLIED, INCLUDING WITHOUT LIMITATION ANY WARRANTY OF MERCHANTABILITY OR FITNESS FOR A PARTICULAR PURPOSE, TO CLIENT OR ANY OTHER PERSON OR ENTITY REGARDING THE SYSTEM AND THE INFORMATION CONTAINED IN AND PRODUCED BY THE SYSTEM, NOR ANY WARRANTY THAT THE SYSTEM OR ANY OTHER RELATED INFORMATION OR MATERIALS PROVIDED TO CLIENT WILL CONFORM TO ANY DESCRIPTION THEREOF PROVIDED BY SALOMON, BE FREE OF ERRORS OR DEFECTS OR PERFORM ANY DESIRED OPERATIONS OR FUNCTIONS.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pPr>
      <w:r>
        <w:rPr/>
        <w:t xml:space="preserve">7.  </w:t>
      </w:r>
      <w:r>
        <w:rPr>
          <w:u w:val="single"/>
        </w:rPr>
        <w:t>LIMITATION OF LIABILITY</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pPr>
      <w:r>
        <w:rPr/>
        <w:t>7.1  IN NO EVENT SHALL SALOMON OR ANY SALOMON ASSOCIATE HAVE ANY LIABILITY TO CLIENT OR ANY OTHER PERSON OR ENTITY FOR DAMAGES OF ANY KIND ARISING OUT OF CLIENT’S USE OF, OR INABILITY TO USE, THE SYSTEM, REGARDLESS OF THE FORM OF ACTION (INCLUDING NEGLIGENCE OR STRICT LIABILITY) WHETHER OR NOT SALOMON HAS BEEN ADVISED OF, OR OTHERWISE MIGHT HAVE ANTICIPATED, THE POSSIBILITY OF SUCH DAMAGES. The limitations on Salomon’s liability contained herein do not apply to any willful or negligent failure of Salomon to exercise due care in acknowledging and processing Orders for execution as such Orders are communicated to Salomon via the System.  The standard of care applicable to Salomon's conduct in this regard, and the extent of its liability to Client for Salomon's failure to exercise such care, shall be determined in accordance with the same legal standards that would otherwise apply to Client orders transmitted via telephone or telecopier.  Client understands and agrees that Salomon shall not be responsible for any Order that is not actually received by Salomon in such a manner that the Order is capable of being acknowledged via the System or by telephone or other customary means.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pPr>
      <w:r>
        <w:rPr/>
      </w:r>
    </w:p>
    <w:p>
      <w:pPr>
        <w:pStyle w:val="Normal"/>
        <w:tabs>
          <w:tab w:val="left" w:pos="0" w:leader="none"/>
          <w:tab w:val="left" w:pos="90" w:leader="none"/>
          <w:tab w:val="left" w:pos="72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pPr>
      <w:r>
        <w:rPr/>
        <w:t>7.2  Client will not hold Salomon responsible for (i) any error by Client in inputting an Order, (ii) any error occurring on an Exchange, (iii) rejection of any Order by the System for any reason whatsoever, (iv) the acts or omissions of Vendor or other third parties or (v) any error by any other cause outside the direct control of Salomon.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ind w:hanging="1440" w:end="0"/>
        <w:jc w:val="both"/>
        <w:rPr/>
      </w:pPr>
      <w:r>
        <w:rPr/>
      </w:r>
    </w:p>
    <w:p>
      <w:pPr>
        <w:pStyle w:val="LeftHeading"/>
        <w:jc w:val="both"/>
        <w:rPr/>
      </w:pPr>
      <w:r>
        <w:rPr/>
        <w:t xml:space="preserve">8.  </w:t>
      </w:r>
      <w:r>
        <w:rPr>
          <w:u w:val="single"/>
        </w:rPr>
        <w:t>Indemnification by Client</w:t>
      </w:r>
      <w:r>
        <w:rPr/>
        <w:t>.  Client, at its expense, agrees to indemnify and hold harmless Salomon, and all Salomon Associates, and defend any action brought against Salomon or any Salomon Associate, with respect to any claim, demand, cause of action, debt, cost, loss, damage, expense (including reasonable attorneys’ fees) or liability, arising, directly or indirectly, from (i) Client’s use of (including on behalf of third parties), or inability to use, the System or any information contained in or produced by the System, or (ii) any breach by Client of any representation, warranty, covenant, procedure or other provision of this Agreement.</w:t>
      </w:r>
    </w:p>
    <w:p>
      <w:pPr>
        <w:pStyle w:val="LeftHeading"/>
        <w:jc w:val="both"/>
        <w:rPr/>
      </w:pPr>
      <w:r>
        <w:rPr/>
        <w:t xml:space="preserve">9.  </w:t>
      </w:r>
      <w:r>
        <w:rPr>
          <w:u w:val="single"/>
        </w:rPr>
        <w:t>Publicity</w:t>
      </w:r>
      <w:r>
        <w:rPr/>
        <w:t>.  Neither party shall, without permission of the other party, (i) disclose the terms of this Agreement or (ii) refer to the other party or its affiliates in any manner in connection with the promotion of any product or service.</w:t>
      </w:r>
    </w:p>
    <w:p>
      <w:pPr>
        <w:pStyle w:val="LeftHeading"/>
        <w:jc w:val="both"/>
        <w:rPr/>
      </w:pPr>
      <w:r>
        <w:rPr/>
        <w:t xml:space="preserve">10.  </w:t>
      </w:r>
      <w:r>
        <w:rPr>
          <w:u w:val="single"/>
        </w:rPr>
        <w:t>Term; Termination</w:t>
      </w:r>
      <w:r>
        <w:rPr/>
        <w:t xml:space="preserve">  This Agreement shall commence on the Effective Date specified above and shall continue in effect until terminated by either party upon thirty (30) days prior written notice, except that, in the event of any breach by Client of any provision of this Agreement, Salomon may terminate this Agreement.</w:t>
      </w:r>
    </w:p>
    <w:p>
      <w:pPr>
        <w:pStyle w:val="LeftHeading"/>
        <w:keepNext w:val="true"/>
        <w:jc w:val="both"/>
        <w:rPr/>
      </w:pPr>
      <w:r>
        <w:rPr/>
        <w:t xml:space="preserve">11.  </w:t>
      </w:r>
      <w:r>
        <w:rPr>
          <w:u w:val="single"/>
        </w:rPr>
        <w:t>General</w:t>
      </w:r>
    </w:p>
    <w:p>
      <w:pPr>
        <w:pStyle w:val="LeftHeading"/>
        <w:jc w:val="both"/>
        <w:rPr/>
      </w:pPr>
      <w:r>
        <w:rPr/>
        <w:t xml:space="preserve">11.1  </w:t>
      </w:r>
      <w:r>
        <w:rPr>
          <w:u w:val="single"/>
        </w:rPr>
        <w:t>Notices</w:t>
      </w:r>
      <w:r>
        <w:rPr/>
        <w:t>.  All notices required or permitted to be given hereunder shall be in writing, and shall be delivered by hand (against receipt) or by registered or certified mail, postage prepaid, return receipt requested, to the above addresses.</w:t>
      </w:r>
    </w:p>
    <w:p>
      <w:pPr>
        <w:pStyle w:val="LeftHeading"/>
        <w:jc w:val="both"/>
        <w:rPr/>
      </w:pPr>
      <w:r>
        <w:rPr/>
        <w:t xml:space="preserve">11.2  </w:t>
      </w:r>
      <w:r>
        <w:rPr>
          <w:u w:val="single"/>
        </w:rPr>
        <w:t>Titles; Entire Agreement</w:t>
      </w:r>
      <w:r>
        <w:rPr/>
        <w:t>.  Titles and paragraph headings are included solely for convenient reference and are not a part of this Agreement.  This Agreement and the Exhibits hereto, which are hereby incorporated herein by reference, constitute the entire agreement between the parties and may be modified only by a written document signed by an authorized representative of each party.</w:t>
      </w:r>
    </w:p>
    <w:p>
      <w:pPr>
        <w:pStyle w:val="LeftHeading"/>
        <w:jc w:val="both"/>
        <w:rPr/>
      </w:pPr>
      <w:r>
        <w:rPr/>
        <w:t xml:space="preserve">11.3  </w:t>
      </w:r>
      <w:r>
        <w:rPr>
          <w:u w:val="single"/>
        </w:rPr>
        <w:t>Severability</w:t>
      </w:r>
      <w:r>
        <w:rPr/>
        <w:t>.  If any provision of this Agreement (or any portion thereof) shall be held invalid, illegal or unenforceable, the validity, legality or enforceability of the remainder of this Agreement shall not in any way be affected or impaired thereby.</w:t>
      </w:r>
    </w:p>
    <w:p>
      <w:pPr>
        <w:pStyle w:val="LeftHeading"/>
        <w:jc w:val="both"/>
        <w:rPr/>
      </w:pPr>
      <w:r>
        <w:rPr/>
        <w:t xml:space="preserve">11.4  </w:t>
      </w:r>
      <w:r>
        <w:rPr>
          <w:u w:val="single"/>
        </w:rPr>
        <w:t>Governing Law</w:t>
      </w:r>
      <w:r>
        <w:rPr/>
        <w:t>.  This Agreement shall be governed by, and construed in accordance with, the laws of the State of New York without giving effect to principles of conflict of law.</w:t>
      </w:r>
    </w:p>
    <w:p>
      <w:pPr>
        <w:pStyle w:val="LeftHeading"/>
        <w:jc w:val="both"/>
        <w:rPr/>
      </w:pPr>
      <w:r>
        <w:rPr/>
        <w:t xml:space="preserve">11.5  </w:t>
      </w:r>
      <w:r>
        <w:rPr>
          <w:u w:val="single"/>
        </w:rPr>
        <w:t>Binding Nature and Assignment</w:t>
      </w:r>
      <w:r>
        <w:rPr/>
        <w:t>.  This Agreement will be binding on the parties, their successors, permitted assigns and legal representatives.  Client may not assign any of Client’s rights or obligations under this Agreement (in whole or in part) without the prior written consent of Salomon, which Salomon may withhold in its sole discretion.</w:t>
      </w:r>
    </w:p>
    <w:p>
      <w:pPr>
        <w:pStyle w:val="LeftHeading"/>
        <w:jc w:val="both"/>
        <w:rPr/>
      </w:pPr>
      <w:r>
        <w:rPr/>
        <w:t xml:space="preserve">11.6  </w:t>
      </w:r>
      <w:r>
        <w:rPr>
          <w:u w:val="single"/>
        </w:rPr>
        <w:t>Disclaimer of Partnership and Agency</w:t>
      </w:r>
      <w:r>
        <w:rPr/>
        <w:t>.  The parties acknowledge and agree that each is an independent contractor and not an agent, joint venturer or partner of the other party.</w:t>
      </w:r>
    </w:p>
    <w:p>
      <w:pPr>
        <w:pStyle w:val="LeftHeading"/>
        <w:jc w:val="both"/>
        <w:rPr/>
      </w:pPr>
      <w:r>
        <w:rPr/>
        <w:t xml:space="preserve">11.7  </w:t>
      </w:r>
      <w:r>
        <w:rPr>
          <w:u w:val="single"/>
        </w:rPr>
        <w:t>Salomon Associates</w:t>
      </w:r>
      <w:r>
        <w:rPr/>
        <w:t>.  For purposes of this Agreement, Salomon Associates shall mean collectively Salomon Smith Barney Inc. and its affiliates and their respective directors, officers, employees and agents.  The rights, benefits, protections and privileges of Salomon Smith Barney Inc. shall inure to the benefit of Salomon Associates to the extent appropriate and each such Salomon Associate shall be entitled to exercise such rights, benefits, protections and privileges to the extent appropriate as if such Salomon Associate were a party hereto.</w:t>
      </w:r>
    </w:p>
    <w:p>
      <w:pPr>
        <w:pStyle w:val="LeftHeading"/>
        <w:jc w:val="both"/>
        <w:rPr/>
      </w:pPr>
      <w:r>
        <w:rPr/>
        <w:t xml:space="preserve">11.8  </w:t>
      </w:r>
      <w:r>
        <w:rPr>
          <w:u w:val="single"/>
        </w:rPr>
        <w:t>Survival</w:t>
      </w:r>
      <w:r>
        <w:rPr/>
        <w:t xml:space="preserve">.  The provisions of Sections 3, 4, 5, 6, 7, 8, and 11 hereof shall survive any expiration, termination or rescission of this Agreement. </w:t>
      </w:r>
    </w:p>
    <w:p>
      <w:pPr>
        <w:sectPr>
          <w:type w:val="continuous"/>
          <w:pgSz w:w="12240" w:h="15840"/>
          <w:pgMar w:left="1440" w:right="1080" w:gutter="0" w:header="0" w:top="720" w:footer="576" w:bottom="720"/>
          <w:cols w:num="2" w:space="708" w:equalWidth="true" w:sep="false"/>
          <w:formProt w:val="false"/>
          <w:titlePg/>
          <w:textDirection w:val="lrTb"/>
          <w:docGrid w:type="default" w:linePitch="360" w:charSpace="0"/>
        </w:sectPr>
      </w:pPr>
    </w:p>
    <w:p>
      <w:pPr>
        <w:pStyle w:val="SingleSpace"/>
        <w:keepNext w:val="true"/>
        <w:keepLines/>
        <w:spacing w:before="120" w:after="120"/>
        <w:jc w:val="both"/>
        <w:rPr/>
      </w:pPr>
      <w:r>
        <w:rPr>
          <w:b/>
          <w:sz w:val="20"/>
        </w:rPr>
        <w:t>IN WITNESS WHEREOF</w:t>
      </w:r>
      <w:r>
        <w:rPr/>
        <w:t>, the parties have caused this Agreement to be executed by their authorized representatives.</w:t>
      </w:r>
    </w:p>
    <w:tbl>
      <w:tblPr>
        <w:tblW w:w="9378" w:type="dxa"/>
        <w:jc w:val="start"/>
        <w:tblInd w:w="0" w:type="dxa"/>
        <w:tblLayout w:type="fixed"/>
        <w:tblCellMar>
          <w:top w:w="0" w:type="dxa"/>
          <w:start w:w="108" w:type="dxa"/>
          <w:bottom w:w="0" w:type="dxa"/>
          <w:end w:w="108" w:type="dxa"/>
        </w:tblCellMar>
      </w:tblPr>
      <w:tblGrid>
        <w:gridCol w:w="5148"/>
        <w:gridCol w:w="4230"/>
      </w:tblGrid>
      <w:tr>
        <w:trPr/>
        <w:tc>
          <w:tcPr>
            <w:tcW w:w="5148" w:type="dxa"/>
            <w:tcBorders/>
          </w:tcPr>
          <w:p>
            <w:pPr>
              <w:pStyle w:val="Normal"/>
              <w:spacing w:before="0" w:after="120"/>
              <w:jc w:val="both"/>
              <w:rPr>
                <w:b/>
              </w:rPr>
            </w:pPr>
            <w:r>
              <w:rPr>
                <w:b/>
              </w:rPr>
              <w:t xml:space="preserve">SALOMON SMITH BARNEY INC. </w:t>
            </w:r>
          </w:p>
        </w:tc>
        <w:tc>
          <w:tcPr>
            <w:tcW w:w="4230" w:type="dxa"/>
            <w:tcBorders/>
          </w:tcPr>
          <w:p>
            <w:pPr>
              <w:pStyle w:val="Normal"/>
              <w:keepNext w:val="true"/>
              <w:keepLines/>
              <w:spacing w:before="0" w:after="120"/>
              <w:jc w:val="both"/>
              <w:rPr>
                <w:b/>
              </w:rPr>
            </w:pPr>
            <w:r>
              <w:rPr>
                <w:b/>
              </w:rPr>
              <w:t>CLIENT: _______________________________</w:t>
            </w:r>
          </w:p>
        </w:tc>
      </w:tr>
      <w:tr>
        <w:trPr/>
        <w:tc>
          <w:tcPr>
            <w:tcW w:w="5148" w:type="dxa"/>
            <w:tcBorders/>
          </w:tcPr>
          <w:p>
            <w:pPr>
              <w:pStyle w:val="Normal"/>
              <w:tabs>
                <w:tab w:val="clear" w:pos="720"/>
                <w:tab w:val="left" w:pos="4500" w:leader="none"/>
              </w:tabs>
              <w:spacing w:before="0" w:after="120"/>
              <w:jc w:val="both"/>
              <w:rPr/>
            </w:pPr>
            <w:r>
              <w:rPr/>
              <w:t xml:space="preserve">By: </w:t>
            </w:r>
            <w:r>
              <w:rPr>
                <w:u w:val="single"/>
              </w:rPr>
              <w:tab/>
            </w:r>
          </w:p>
        </w:tc>
        <w:tc>
          <w:tcPr>
            <w:tcW w:w="4230" w:type="dxa"/>
            <w:tcBorders/>
          </w:tcPr>
          <w:p>
            <w:pPr>
              <w:pStyle w:val="Normal"/>
              <w:keepNext w:val="true"/>
              <w:keepLines/>
              <w:tabs>
                <w:tab w:val="clear" w:pos="720"/>
                <w:tab w:val="left" w:pos="4032" w:leader="none"/>
              </w:tabs>
              <w:spacing w:before="0" w:after="120"/>
              <w:jc w:val="both"/>
              <w:rPr/>
            </w:pPr>
            <w:r>
              <w:rPr/>
              <w:t xml:space="preserve">By: </w:t>
            </w:r>
            <w:r>
              <w:rPr>
                <w:u w:val="single"/>
              </w:rPr>
              <w:tab/>
            </w:r>
          </w:p>
        </w:tc>
      </w:tr>
      <w:tr>
        <w:trPr/>
        <w:tc>
          <w:tcPr>
            <w:tcW w:w="5148" w:type="dxa"/>
            <w:tcBorders/>
          </w:tcPr>
          <w:p>
            <w:pPr>
              <w:pStyle w:val="Normal"/>
              <w:tabs>
                <w:tab w:val="clear" w:pos="720"/>
                <w:tab w:val="left" w:pos="4500" w:leader="none"/>
              </w:tabs>
              <w:spacing w:before="0" w:after="120"/>
              <w:jc w:val="both"/>
              <w:rPr/>
            </w:pPr>
            <w:r>
              <w:rPr/>
              <w:t xml:space="preserve">Name: </w:t>
            </w:r>
            <w:r>
              <w:rPr>
                <w:u w:val="single"/>
              </w:rPr>
              <w:tab/>
            </w:r>
          </w:p>
        </w:tc>
        <w:tc>
          <w:tcPr>
            <w:tcW w:w="4230" w:type="dxa"/>
            <w:tcBorders/>
          </w:tcPr>
          <w:p>
            <w:pPr>
              <w:pStyle w:val="Normal"/>
              <w:keepNext w:val="true"/>
              <w:keepLines/>
              <w:tabs>
                <w:tab w:val="clear" w:pos="720"/>
                <w:tab w:val="left" w:pos="4032" w:leader="none"/>
              </w:tabs>
              <w:spacing w:before="0" w:after="120"/>
              <w:jc w:val="both"/>
              <w:rPr/>
            </w:pPr>
            <w:r>
              <w:rPr/>
              <w:t>Name:</w:t>
            </w:r>
            <w:r>
              <w:rPr>
                <w:u w:val="single"/>
              </w:rPr>
              <w:tab/>
            </w:r>
          </w:p>
        </w:tc>
      </w:tr>
      <w:tr>
        <w:trPr/>
        <w:tc>
          <w:tcPr>
            <w:tcW w:w="5148" w:type="dxa"/>
            <w:tcBorders/>
          </w:tcPr>
          <w:p>
            <w:pPr>
              <w:pStyle w:val="Normal"/>
              <w:tabs>
                <w:tab w:val="clear" w:pos="720"/>
                <w:tab w:val="left" w:pos="4500" w:leader="none"/>
              </w:tabs>
              <w:spacing w:before="0" w:after="120"/>
              <w:jc w:val="both"/>
              <w:rPr/>
            </w:pPr>
            <w:r>
              <w:rPr/>
              <w:t xml:space="preserve">Title: </w:t>
            </w:r>
            <w:r>
              <w:rPr>
                <w:u w:val="single"/>
              </w:rPr>
              <w:tab/>
            </w:r>
          </w:p>
        </w:tc>
        <w:tc>
          <w:tcPr>
            <w:tcW w:w="4230" w:type="dxa"/>
            <w:tcBorders/>
          </w:tcPr>
          <w:p>
            <w:pPr>
              <w:pStyle w:val="Normal"/>
              <w:keepNext w:val="true"/>
              <w:keepLines/>
              <w:tabs>
                <w:tab w:val="clear" w:pos="720"/>
                <w:tab w:val="left" w:pos="4032" w:leader="none"/>
              </w:tabs>
              <w:spacing w:before="0" w:after="120"/>
              <w:jc w:val="both"/>
              <w:rPr/>
            </w:pPr>
            <w:r>
              <w:rPr/>
              <w:t xml:space="preserve">Title: </w:t>
            </w:r>
            <w:r>
              <w:rPr>
                <w:u w:val="single"/>
              </w:rPr>
              <w:tab/>
            </w:r>
          </w:p>
        </w:tc>
      </w:tr>
      <w:tr>
        <w:trPr/>
        <w:tc>
          <w:tcPr>
            <w:tcW w:w="5148" w:type="dxa"/>
            <w:tcBorders/>
          </w:tcPr>
          <w:p>
            <w:pPr>
              <w:pStyle w:val="Normal"/>
              <w:tabs>
                <w:tab w:val="clear" w:pos="720"/>
                <w:tab w:val="left" w:pos="4500" w:leader="none"/>
              </w:tabs>
              <w:spacing w:before="0" w:after="120"/>
              <w:jc w:val="both"/>
              <w:rPr/>
            </w:pPr>
            <w:r>
              <w:rPr/>
              <w:t xml:space="preserve">Date: </w:t>
            </w:r>
            <w:r>
              <w:rPr>
                <w:u w:val="single"/>
              </w:rPr>
              <w:tab/>
            </w:r>
          </w:p>
        </w:tc>
        <w:tc>
          <w:tcPr>
            <w:tcW w:w="4230" w:type="dxa"/>
            <w:tcBorders/>
          </w:tcPr>
          <w:p>
            <w:pPr>
              <w:pStyle w:val="Normal"/>
              <w:keepNext w:val="true"/>
              <w:keepLines/>
              <w:tabs>
                <w:tab w:val="clear" w:pos="720"/>
                <w:tab w:val="left" w:pos="4032" w:leader="none"/>
              </w:tabs>
              <w:spacing w:before="0" w:after="120"/>
              <w:jc w:val="both"/>
              <w:rPr/>
            </w:pPr>
            <w:r>
              <w:rPr/>
              <w:t xml:space="preserve">Date: </w:t>
            </w:r>
            <w:r>
              <w:rPr>
                <w:u w:val="single"/>
              </w:rPr>
              <w:tab/>
            </w:r>
          </w:p>
        </w:tc>
      </w:tr>
    </w:tbl>
    <w:p>
      <w:pPr>
        <w:sectPr>
          <w:type w:val="continuous"/>
          <w:pgSz w:w="12240" w:h="15840"/>
          <w:pgMar w:left="1440" w:right="1080" w:gutter="0" w:header="0" w:top="720" w:footer="576" w:bottom="720"/>
          <w:formProt w:val="false"/>
          <w:titlePg/>
          <w:textDirection w:val="lrTb"/>
          <w:docGrid w:type="default" w:linePitch="360" w:charSpace="0"/>
        </w:sectPr>
      </w:pP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b/>
        </w:rPr>
      </w:pPr>
      <w:r>
        <w:rPr>
          <w:b/>
        </w:rPr>
      </w:r>
    </w:p>
    <w:p>
      <w:pPr>
        <w:sectPr>
          <w:type w:val="continuous"/>
          <w:pgSz w:w="12240" w:h="15840"/>
          <w:pgMar w:left="1440" w:right="1080" w:gutter="0" w:header="0" w:top="720" w:footer="576" w:bottom="720"/>
          <w:formProt w:val="false"/>
          <w:titlePg/>
          <w:textDirection w:val="lrTb"/>
          <w:docGrid w:type="default" w:linePitch="360" w:charSpace="0"/>
        </w:sectPr>
      </w:pP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b/>
        </w:rPr>
      </w:pPr>
      <w:r>
        <w:rPr>
          <w:b/>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b/>
        </w:rPr>
      </w:pPr>
      <w:r>
        <w:rPr>
          <w:b/>
        </w:rPr>
        <w:t>EXHIBIT 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b/>
          <w:u w:val="single"/>
        </w:rPr>
      </w:pPr>
      <w:r>
        <w:rPr>
          <w:b/>
          <w:u w:val="single"/>
        </w:rPr>
        <w:t>PART I - PROCEDURES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pPr>
      <w:r>
        <w:rPr/>
      </w:r>
    </w:p>
    <w:p>
      <w:pPr>
        <w:sectPr>
          <w:type w:val="continuous"/>
          <w:pgSz w:w="12240" w:h="15840"/>
          <w:pgMar w:left="1440" w:right="1080" w:gutter="0" w:header="0" w:top="720" w:footer="576" w:bottom="720"/>
          <w:formProt w:val="false"/>
          <w:titlePg/>
          <w:textDirection w:val="lrTb"/>
          <w:docGrid w:type="default" w:linePitch="360" w:charSpace="0"/>
        </w:sectPr>
      </w:pP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pPr>
      <w:r>
        <w:rPr/>
        <w:t>1.  Client may send Orders to Salomon during such days and hours as Salomon may from time to time establish.</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pPr>
      <w:r>
        <w:rPr/>
        <w:t>2.  Client will designate to Salomon as such any Order for a securities "short sale” if permitted   To enable Salomon to determine whether it will be able to borrow the securities for delivery, Client will obtain the consent of Salomon in advance of transmitting a "short sale" Order.</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pPr>
      <w:r>
        <w:rPr/>
        <w:t>3.  The designation of a sale Order by the Client that is not marked "short" is a representation on the part of Client that Client owns and intends to deliver the security (is "long") and, if the security is not in Salomon's possession at the time of the contract for sale, Client will deliver the security to Salomon "promptly" and in no event later than the settlement date.</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pPr>
      <w:r>
        <w:rPr/>
        <w:t>4.  Client will obtain the consent of Salomon before transmitting to Salomon an Order for the sale of "restricted" or  control  securities (as defined in Rule 144 under the Securities Act) or securities as to which any applicable  restricted period  (as provided for in Regulation S under the Securities Act) has not expired or an Order for the simultaneous purchase and sale of the same security by different accounts.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both"/>
        <w:rPr/>
      </w:pPr>
      <w:r>
        <w:rPr/>
      </w:r>
    </w:p>
    <w:p>
      <w:pPr>
        <w:sectPr>
          <w:type w:val="continuous"/>
          <w:pgSz w:w="12240" w:h="15840"/>
          <w:pgMar w:left="1440" w:right="1080" w:gutter="0" w:header="0" w:top="720" w:footer="576" w:bottom="720"/>
          <w:cols w:num="2" w:space="708" w:equalWidth="true" w:sep="false"/>
          <w:formProt w:val="false"/>
          <w:titlePg/>
          <w:textDirection w:val="lrTb"/>
          <w:docGrid w:type="default" w:linePitch="360" w:charSpace="0"/>
        </w:sectPr>
      </w:pP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center"/>
        <w:rPr>
          <w:u w:val="single"/>
        </w:rPr>
      </w:pPr>
      <w:r>
        <w:rPr>
          <w:u w:val="single"/>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jc w:val="center"/>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rPr>
          <w:b/>
          <w:u w:val="single"/>
        </w:rPr>
      </w:pPr>
      <w:r>
        <w:rPr>
          <w:b/>
          <w:u w:val="single"/>
        </w:rPr>
        <w:t>PART II - THE LIMITS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rPr/>
      </w:pPr>
      <w:r>
        <w:rPr/>
        <w:t>Daily Currency Limit:_____________________________________ (___________)</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rPr/>
      </w:pPr>
      <w:r>
        <w:rPr/>
        <w:t>ORDER LIMITS: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rPr/>
      </w:pPr>
      <w:r>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rPr/>
      </w:pPr>
      <w:r>
        <w:rPr/>
        <w:tab/>
        <w:t>EXCHANGE</w:t>
        <w:tab/>
        <w:tab/>
        <w:tab/>
        <w:tab/>
        <w:t>SHARE LIMIT</w:t>
        <w:tab/>
        <w:t>and/or</w:t>
        <w:tab/>
        <w:t>MARKET VALUE</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rPr/>
      </w:pPr>
      <w:r>
        <w:rPr/>
        <w:t>1. ______________________________</w:t>
        <w:tab/>
        <w:tab/>
        <w:t>_________________</w:t>
        <w:tab/>
        <w:t>_______________</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rPr/>
      </w:pPr>
      <w:r>
        <w:rPr/>
        <w:t>2. ______________________________</w:t>
        <w:tab/>
        <w:tab/>
        <w:t>_________________</w:t>
        <w:tab/>
        <w:t>_______________</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rPr/>
      </w:pPr>
      <w:r>
        <w:rPr/>
        <w:t>3. ______________________________</w:t>
        <w:tab/>
        <w:tab/>
        <w:t>_________________</w:t>
        <w:tab/>
        <w:t>_______________</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rPr/>
      </w:pPr>
      <w:r>
        <w:rPr/>
        <w:t>4. ______________________________</w:t>
        <w:tab/>
        <w:tab/>
        <w:t>_________________</w:t>
        <w:tab/>
        <w:t>_______________</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rPr/>
      </w:pPr>
      <w:r>
        <w:rPr/>
        <w:t>5. ______________________________</w:t>
        <w:tab/>
        <w:tab/>
        <w:t>_________________</w:t>
        <w:tab/>
        <w:t>_______________</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rPr/>
      </w:pPr>
      <w:r>
        <w:rPr/>
        <w:t>6. ______________________________</w:t>
        <w:tab/>
        <w:tab/>
        <w:t>_________________</w:t>
        <w:tab/>
        <w:t>_______________</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240"/>
        <w:rPr/>
      </w:pPr>
      <w:r>
        <w:rPr/>
      </w:r>
    </w:p>
    <w:sectPr>
      <w:type w:val="continuous"/>
      <w:pgSz w:w="12240" w:h="15840"/>
      <w:pgMar w:left="1440" w:right="1080" w:gutter="0" w:header="0" w:top="720" w:footer="576" w:bottom="72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4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intext">
    <w:name w:val="Main text"/>
    <w:basedOn w:val="Normal"/>
    <w:qFormat/>
    <w:pPr>
      <w:spacing w:before="0" w:after="240"/>
    </w:pPr>
    <w:rPr>
      <w:b/>
      <w:sz w:val="24"/>
    </w:rPr>
  </w:style>
  <w:style w:type="paragraph" w:styleId="Boldheading">
    <w:name w:val="Bold heading"/>
    <w:basedOn w:val="Maintext"/>
    <w:qFormat/>
    <w:pPr/>
    <w:rPr/>
  </w:style>
  <w:style w:type="paragraph" w:styleId="LeftHeading">
    <w:name w:val="Left Heading"/>
    <w:basedOn w:val="Normal"/>
    <w:next w:val="Normal"/>
    <w:qFormat/>
    <w:pPr>
      <w:spacing w:before="0" w:after="120"/>
    </w:pPr>
    <w:rPr/>
  </w:style>
  <w:style w:type="paragraph" w:styleId="SingleSpace">
    <w:name w:val="Single Space"/>
    <w:basedOn w:val="Normal"/>
    <w:qFormat/>
    <w:pPr>
      <w:spacing w:before="0" w:after="240"/>
      <w:ind w:firstLine="1440" w:start="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1999-01-20T20:02:00Z</dcterms:created>
  <dc:creator>Marjorie Bocksel</dc:creator>
  <dc:description/>
  <dc:language>en-CA</dc:language>
  <cp:lastModifiedBy>David Gavilan, Esq.</cp:lastModifiedBy>
  <cp:lastPrinted>1998-04-28T09:13:00Z</cp:lastPrinted>
  <dcterms:modified xsi:type="dcterms:W3CDTF">2000-05-03T16:03:00Z</dcterms:modified>
  <cp:revision>5</cp:revision>
  <dc:subject/>
  <dc:title>SALOMON BROTHERS INC</dc:title>
</cp:coreProperties>
</file>