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5040" w:leader="none"/>
          <w:tab w:val="left" w:pos="5760" w:leader="none"/>
        </w:tabs>
        <w:rPr>
          <w:b/>
          <w:smallCaps/>
          <w:sz w:val="32"/>
        </w:rPr>
      </w:pPr>
      <w:r>
        <w:rPr>
          <w:b/>
          <w:smallCaps/>
          <w:sz w:val="32"/>
        </w:rPr>
      </w:r>
    </w:p>
    <w:p>
      <w:pPr>
        <w:pStyle w:val="Normal"/>
        <w:tabs>
          <w:tab w:val="clear" w:pos="720"/>
          <w:tab w:val="left" w:pos="1440" w:leader="none"/>
          <w:tab w:val="left" w:pos="5040" w:leader="none"/>
          <w:tab w:val="left" w:pos="5760" w:leader="none"/>
        </w:tabs>
        <w:rPr>
          <w:b/>
          <w:smallCaps/>
          <w:sz w:val="32"/>
        </w:rPr>
      </w:pPr>
      <w:r>
        <w:rPr>
          <w:b/>
          <w:sz w:val="32"/>
        </w:rPr>
        <w:t>MEMORANDUM</w:t>
        <w:tab/>
        <w:tab/>
        <w:tab/>
      </w:r>
      <w:r>
        <w:rPr>
          <w:sz w:val="20"/>
        </w:rPr>
        <w:drawing>
          <wp:inline distT="0" distB="0" distL="0" distR="0">
            <wp:extent cx="1828800" cy="606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66" t="-813" r="-266" b="-813"/>
                    <a:stretch>
                      <a:fillRect/>
                    </a:stretch>
                  </pic:blipFill>
                  <pic:spPr bwMode="auto">
                    <a:xfrm>
                      <a:off x="0" y="0"/>
                      <a:ext cx="1828800" cy="606425"/>
                    </a:xfrm>
                    <a:prstGeom prst="rect">
                      <a:avLst/>
                    </a:prstGeom>
                    <a:noFill/>
                  </pic:spPr>
                </pic:pic>
              </a:graphicData>
            </a:graphic>
          </wp:inline>
        </w:drawing>
      </w:r>
    </w:p>
    <w:p>
      <w:pPr>
        <w:pStyle w:val="Normal"/>
        <w:tabs>
          <w:tab w:val="clear" w:pos="720"/>
          <w:tab w:val="left" w:pos="1440" w:leader="none"/>
          <w:tab w:val="left" w:pos="5040" w:leader="none"/>
          <w:tab w:val="left" w:pos="5760" w:leader="none"/>
        </w:tabs>
        <w:rPr>
          <w:b/>
          <w:smallCaps/>
          <w:sz w:val="32"/>
        </w:rPr>
      </w:pPr>
      <w:r>
        <w:rPr>
          <w:b/>
          <w:smallCaps/>
          <w:sz w:val="32"/>
        </w:rPr>
      </w:r>
    </w:p>
    <w:p>
      <w:pPr>
        <w:pStyle w:val="Normal"/>
        <w:tabs>
          <w:tab w:val="clear" w:pos="720"/>
          <w:tab w:val="left" w:pos="1440" w:leader="none"/>
          <w:tab w:val="left" w:pos="4680" w:leader="none"/>
          <w:tab w:val="left" w:pos="5760" w:leader="none"/>
        </w:tabs>
        <w:rPr/>
      </w:pPr>
      <w:r>
        <w:rPr>
          <w:b/>
          <w:smallCaps/>
        </w:rPr>
        <w:t>To:</w:t>
      </w:r>
      <w:r>
        <w:rPr/>
        <w:tab/>
        <w:t>Janel Guerrero</w:t>
        <w:tab/>
      </w:r>
    </w:p>
    <w:p>
      <w:pPr>
        <w:pStyle w:val="Normal"/>
        <w:tabs>
          <w:tab w:val="clear" w:pos="720"/>
          <w:tab w:val="left" w:pos="1440" w:leader="none"/>
        </w:tabs>
        <w:rPr/>
      </w:pPr>
      <w:r>
        <w:rPr/>
      </w:r>
    </w:p>
    <w:p>
      <w:pPr>
        <w:pStyle w:val="Normal"/>
        <w:tabs>
          <w:tab w:val="clear" w:pos="720"/>
          <w:tab w:val="left" w:pos="1440" w:leader="none"/>
        </w:tabs>
        <w:rPr/>
      </w:pPr>
      <w:r>
        <w:rPr>
          <w:b/>
          <w:smallCaps/>
        </w:rPr>
        <w:t>From:</w:t>
      </w:r>
      <w:r>
        <w:rPr/>
        <w:tab/>
        <w:t>SS+K</w:t>
      </w:r>
    </w:p>
    <w:p>
      <w:pPr>
        <w:pStyle w:val="Normal"/>
        <w:tabs>
          <w:tab w:val="clear" w:pos="720"/>
          <w:tab w:val="left" w:pos="1440" w:leader="none"/>
        </w:tabs>
        <w:rPr/>
      </w:pPr>
      <w:r>
        <w:rPr/>
      </w:r>
    </w:p>
    <w:p>
      <w:pPr>
        <w:pStyle w:val="Normal"/>
        <w:tabs>
          <w:tab w:val="clear" w:pos="720"/>
          <w:tab w:val="left" w:pos="1440" w:leader="none"/>
          <w:tab w:val="right" w:pos="9360" w:leader="none"/>
        </w:tabs>
        <w:rPr/>
      </w:pPr>
      <w:r>
        <w:rPr>
          <w:b/>
          <w:smallCaps/>
        </w:rPr>
        <w:t>Subject:</w:t>
      </w:r>
      <w:r>
        <w:rPr>
          <w:b/>
        </w:rPr>
        <w:tab/>
        <w:t>Strategic Implications of Focus Groups</w:t>
      </w:r>
      <w:r>
        <w:rPr/>
        <w:tab/>
      </w:r>
      <w:r>
        <w:rPr>
          <w:b/>
          <w:smallCaps/>
        </w:rPr>
        <w:t>Date:</w:t>
      </w:r>
      <w:r>
        <w:rPr/>
        <w:t xml:space="preserve"> </w:t>
      </w:r>
      <w:r>
        <w:rPr/>
        <w:fldChar w:fldCharType="begin"/>
      </w:r>
      <w:r>
        <w:rPr/>
        <w:instrText xml:space="preserve"> DATE \@"M/d/yyyy" </w:instrText>
      </w:r>
      <w:r>
        <w:rPr/>
        <w:fldChar w:fldCharType="separate"/>
      </w:r>
      <w:r>
        <w:rPr/>
        <w:t>9/28/2025</w:t>
      </w:r>
      <w:r>
        <w:rPr/>
        <w:fldChar w:fldCharType="end"/>
      </w:r>
    </w:p>
    <w:p>
      <w:pPr>
        <w:pStyle w:val="Normal"/>
        <w:pBdr>
          <w:bottom w:val="single" w:sz="18" w:space="1" w:color="000000"/>
        </w:pBdr>
        <w:rPr/>
      </w:pPr>
      <w:r>
        <w:rPr/>
      </w:r>
    </w:p>
    <w:p>
      <w:pPr>
        <w:pStyle w:val="Normal"/>
        <w:rPr/>
      </w:pPr>
      <w:r>
        <w:rPr/>
      </w:r>
    </w:p>
    <w:p>
      <w:pPr>
        <w:pStyle w:val="Normal"/>
        <w:rPr>
          <w:sz w:val="26"/>
        </w:rPr>
      </w:pPr>
      <w:r>
        <w:rPr>
          <w:sz w:val="26"/>
        </w:rPr>
        <w:t xml:space="preserve">Attached is a brief summary of findings from the recent focus groups.  One-on-one interviews with more specialized/elite audiences are underway and will complement these findings.  </w:t>
      </w:r>
    </w:p>
    <w:p>
      <w:pPr>
        <w:pStyle w:val="Normal"/>
        <w:rPr>
          <w:sz w:val="16"/>
        </w:rPr>
      </w:pPr>
      <w:r>
        <w:rPr>
          <w:sz w:val="16"/>
        </w:rPr>
      </w:r>
    </w:p>
    <w:p>
      <w:pPr>
        <w:pStyle w:val="Normal"/>
        <w:rPr>
          <w:sz w:val="26"/>
        </w:rPr>
      </w:pPr>
      <w:r>
        <w:rPr>
          <w:sz w:val="26"/>
        </w:rPr>
        <w:t>Overall, the focus groups lead us to believe that anyone trying to mobilize anti-deregulation sentiment will have a steep upward battle – even if prices spike sharply this summer or some disruptions of service are experienced.</w:t>
      </w:r>
    </w:p>
    <w:p>
      <w:pPr>
        <w:pStyle w:val="Normal"/>
        <w:rPr>
          <w:sz w:val="16"/>
        </w:rPr>
      </w:pPr>
      <w:r>
        <w:rPr>
          <w:sz w:val="16"/>
        </w:rPr>
      </w:r>
    </w:p>
    <w:p>
      <w:pPr>
        <w:pStyle w:val="Normal"/>
        <w:numPr>
          <w:ilvl w:val="0"/>
          <w:numId w:val="2"/>
        </w:numPr>
        <w:tabs>
          <w:tab w:val="clear" w:pos="720"/>
          <w:tab w:val="left" w:pos="1080" w:leader="none"/>
        </w:tabs>
        <w:ind w:hanging="360" w:start="1080" w:end="0"/>
        <w:rPr>
          <w:sz w:val="26"/>
        </w:rPr>
      </w:pPr>
      <w:r>
        <w:rPr>
          <w:sz w:val="26"/>
        </w:rPr>
        <w:t xml:space="preserve">Energy is not top-of-mind.  Price increases for gas and electricity are lumped together with other cost of living issues -- not singled out as signifying a crisis in energy. </w:t>
      </w:r>
    </w:p>
    <w:p>
      <w:pPr>
        <w:pStyle w:val="Normal"/>
        <w:ind w:start="720" w:end="0"/>
        <w:rPr>
          <w:sz w:val="26"/>
        </w:rPr>
      </w:pPr>
      <w:r>
        <w:rPr>
          <w:sz w:val="26"/>
        </w:rPr>
        <w:t xml:space="preserve"> </w:t>
      </w:r>
    </w:p>
    <w:p>
      <w:pPr>
        <w:pStyle w:val="Normal"/>
        <w:numPr>
          <w:ilvl w:val="0"/>
          <w:numId w:val="2"/>
        </w:numPr>
        <w:tabs>
          <w:tab w:val="clear" w:pos="720"/>
          <w:tab w:val="left" w:pos="1080" w:leader="none"/>
        </w:tabs>
        <w:ind w:hanging="360" w:start="1080" w:end="0"/>
        <w:rPr>
          <w:sz w:val="26"/>
        </w:rPr>
      </w:pPr>
      <w:r>
        <w:rPr>
          <w:sz w:val="26"/>
        </w:rPr>
        <w:t>Awareness of the status of deregulation in the state is very hazy.  Almost all respondents see their local utilities as the sole identifiable player in energy supply and pricing.  No energy company beyond the local utility has any clear image – it’s a blur.  In the event of problems in New York City, attention will focus on Con Ed, and respondents have no idea who else might be responsible.</w:t>
      </w:r>
    </w:p>
    <w:p>
      <w:pPr>
        <w:pStyle w:val="Normal"/>
        <w:rPr>
          <w:sz w:val="26"/>
        </w:rPr>
      </w:pPr>
      <w:r>
        <w:rPr>
          <w:sz w:val="26"/>
        </w:rPr>
      </w:r>
    </w:p>
    <w:p>
      <w:pPr>
        <w:pStyle w:val="Normal"/>
        <w:numPr>
          <w:ilvl w:val="0"/>
          <w:numId w:val="2"/>
        </w:numPr>
        <w:tabs>
          <w:tab w:val="clear" w:pos="720"/>
          <w:tab w:val="left" w:pos="1080" w:leader="none"/>
        </w:tabs>
        <w:ind w:hanging="360" w:start="1080" w:end="0"/>
        <w:rPr>
          <w:sz w:val="26"/>
        </w:rPr>
      </w:pPr>
      <w:r>
        <w:rPr>
          <w:sz w:val="26"/>
        </w:rPr>
        <w:t xml:space="preserve">Awareness of the situation in California exists, but California is not, by and large, seen as a warning signal for New York.  For those who know less about California, there is not enough understanding to relate California to New York.  For those that know more, the idea that “California = deregulation, therefore deregulation = bad” is viewed as grossly over-simplistic. The more informed believe that a compounding set of poor decisions has caused the situation there. </w:t>
      </w:r>
    </w:p>
    <w:p>
      <w:pPr>
        <w:pStyle w:val="Normal"/>
        <w:rPr>
          <w:sz w:val="26"/>
        </w:rPr>
      </w:pPr>
      <w:r>
        <w:rPr>
          <w:sz w:val="26"/>
        </w:rPr>
      </w:r>
    </w:p>
    <w:p>
      <w:pPr>
        <w:pStyle w:val="Normal"/>
        <w:numPr>
          <w:ilvl w:val="0"/>
          <w:numId w:val="2"/>
        </w:numPr>
        <w:tabs>
          <w:tab w:val="clear" w:pos="720"/>
          <w:tab w:val="left" w:pos="1080" w:leader="none"/>
        </w:tabs>
        <w:ind w:hanging="360" w:start="1080" w:end="0"/>
        <w:rPr>
          <w:sz w:val="26"/>
        </w:rPr>
      </w:pPr>
      <w:r>
        <w:rPr>
          <w:sz w:val="26"/>
        </w:rPr>
        <w:t xml:space="preserve">There is already an expectation that prices will rise and that supply may be problematic in New York City during the worst of the summer.  At least in anticipation (and people are sometimes unreliable indicators of their own future resonses), respondents appear resigned to this as “par for the course.”  </w:t>
      </w:r>
    </w:p>
    <w:p>
      <w:pPr>
        <w:pStyle w:val="Normal"/>
        <w:rPr>
          <w:sz w:val="26"/>
        </w:rPr>
      </w:pPr>
      <w:r>
        <w:rPr>
          <w:sz w:val="26"/>
        </w:rPr>
      </w:r>
    </w:p>
    <w:p>
      <w:pPr>
        <w:pStyle w:val="Normal"/>
        <w:numPr>
          <w:ilvl w:val="0"/>
          <w:numId w:val="2"/>
        </w:numPr>
        <w:tabs>
          <w:tab w:val="clear" w:pos="720"/>
          <w:tab w:val="left" w:pos="1080" w:leader="none"/>
        </w:tabs>
        <w:ind w:hanging="360" w:start="1080" w:end="0"/>
        <w:rPr>
          <w:sz w:val="26"/>
        </w:rPr>
      </w:pPr>
      <w:r>
        <w:rPr>
          <w:sz w:val="26"/>
        </w:rPr>
        <w:t>As they are uninformed and easily overwhelmed by the complexity of energy issues, respondents would welcome simple information.  They would be open to people offering solutions. And they have a predisposition to viewing competition in a favorable light (although they are deeply skeptical that the process of deregulation, which they assume will be manipulated by various powerful interest groups, will lead directly or rapidly to real competition).</w:t>
      </w:r>
    </w:p>
    <w:p>
      <w:pPr>
        <w:pStyle w:val="Normal"/>
        <w:rPr>
          <w:sz w:val="16"/>
        </w:rPr>
      </w:pPr>
      <w:r>
        <w:rPr>
          <w:sz w:val="16"/>
        </w:rPr>
      </w:r>
    </w:p>
    <w:p>
      <w:pPr>
        <w:pStyle w:val="Normal"/>
        <w:rPr>
          <w:sz w:val="26"/>
        </w:rPr>
      </w:pPr>
      <w:r>
        <w:rPr>
          <w:sz w:val="26"/>
        </w:rPr>
        <w:t>What does this all mean for our communications? Some preliminary thoughts:</w:t>
      </w:r>
    </w:p>
    <w:p>
      <w:pPr>
        <w:pStyle w:val="Normal"/>
        <w:rPr>
          <w:sz w:val="16"/>
        </w:rPr>
      </w:pPr>
      <w:r>
        <w:rPr>
          <w:sz w:val="16"/>
        </w:rPr>
      </w:r>
    </w:p>
    <w:p>
      <w:pPr>
        <w:pStyle w:val="Normal"/>
        <w:numPr>
          <w:ilvl w:val="0"/>
          <w:numId w:val="3"/>
        </w:numPr>
        <w:tabs>
          <w:tab w:val="clear" w:pos="720"/>
          <w:tab w:val="left" w:pos="1080" w:leader="none"/>
        </w:tabs>
        <w:ind w:hanging="360" w:start="1080" w:end="0"/>
        <w:rPr>
          <w:sz w:val="26"/>
        </w:rPr>
      </w:pPr>
      <w:r>
        <w:rPr>
          <w:sz w:val="26"/>
        </w:rPr>
        <w:t>We can lay aside a defensive approach.  People are not aware of independent energy producers.  Unlike California, the coalition members are not the first or natural targets for criticism.</w:t>
      </w:r>
    </w:p>
    <w:p>
      <w:pPr>
        <w:pStyle w:val="Normal"/>
        <w:ind w:start="720" w:end="0"/>
        <w:rPr>
          <w:sz w:val="26"/>
        </w:rPr>
      </w:pPr>
      <w:r>
        <w:rPr>
          <w:sz w:val="26"/>
        </w:rPr>
      </w:r>
    </w:p>
    <w:p>
      <w:pPr>
        <w:pStyle w:val="Normal"/>
        <w:numPr>
          <w:ilvl w:val="0"/>
          <w:numId w:val="3"/>
        </w:numPr>
        <w:tabs>
          <w:tab w:val="clear" w:pos="720"/>
          <w:tab w:val="left" w:pos="1080" w:leader="none"/>
        </w:tabs>
        <w:ind w:hanging="360" w:start="1080" w:end="0"/>
        <w:rPr>
          <w:sz w:val="26"/>
        </w:rPr>
      </w:pPr>
      <w:r>
        <w:rPr>
          <w:sz w:val="26"/>
        </w:rPr>
        <w:t xml:space="preserve">Rather than seeking to downplay California, we can use California to our advantage to advocate for greater competition and increased supply.  We had feared that the public dialogue would go something like, “Look at California, now see what’s happening in New York.  There is a crisis in energy.  We have to do something to control deregulation.”  In fact, it appears that the dialogue, left uninfluenced, would be, “There’s a crisis with energy prices.  What’s that about and how do we do something about it?.”  Our challenge is to channel this into concern about pursuing constructive solutions (competition and expanded supply). </w:t>
      </w:r>
    </w:p>
    <w:p>
      <w:pPr>
        <w:pStyle w:val="Normal"/>
        <w:rPr>
          <w:sz w:val="16"/>
        </w:rPr>
      </w:pPr>
      <w:r>
        <w:rPr>
          <w:sz w:val="16"/>
        </w:rPr>
      </w:r>
    </w:p>
    <w:p>
      <w:pPr>
        <w:pStyle w:val="Normal"/>
        <w:rPr>
          <w:sz w:val="26"/>
        </w:rPr>
      </w:pPr>
      <w:r>
        <w:rPr>
          <w:sz w:val="26"/>
        </w:rPr>
        <w:t>An area in which the groups indicate that we may have difficulty delivering an effective message is the question of price caps.  Price caps are viewed with considerable skepticism and are generally not favored.  However, several people had a tendency to see price increases in the energy sector during times of peak usage as the product of greed on the part of companies.  Price caps may be viewed negatively, but there is considerable support for controlling greed.  And if price caps are presented as tied to market prices in some manner, or the number sounds very high compared to the average price of the commodity in question, then respondents are accepting of the idea.</w:t>
      </w:r>
    </w:p>
    <w:p>
      <w:pPr>
        <w:pStyle w:val="Normal"/>
        <w:rPr>
          <w:sz w:val="26"/>
        </w:rPr>
      </w:pPr>
      <w:r>
        <w:rPr>
          <w:sz w:val="26"/>
        </w:rPr>
      </w:r>
    </w:p>
    <w:p>
      <w:pPr>
        <w:pStyle w:val="Normal"/>
        <w:rPr>
          <w:sz w:val="26"/>
        </w:rPr>
      </w:pPr>
      <w:r>
        <w:rPr>
          <w:sz w:val="26"/>
        </w:rPr>
        <w:t>While these groups were reassuring in some ways (it appears to be an uphill battle to motivate these respondents to be concerned about energy issues), we should bear in mind that this is only one of the audiences we care about.  The more informed, involved people we are talking to in the in-depth interviews are more easily mobilized against deregulation.  Also, if there are sharp price increases and then one or a few high profile politicians try to rally people around the issue, the dynamic could shift rapidly.</w:t>
      </w:r>
    </w:p>
    <w:p>
      <w:pPr>
        <w:pStyle w:val="Normal"/>
        <w:rPr>
          <w:sz w:val="26"/>
        </w:rPr>
      </w:pPr>
      <w:r>
        <w:rPr>
          <w:sz w:val="26"/>
        </w:rPr>
      </w:r>
    </w:p>
    <w:p>
      <w:pPr>
        <w:pStyle w:val="Normal"/>
        <w:rPr>
          <w:sz w:val="26"/>
        </w:rPr>
      </w:pPr>
      <w:r>
        <w:rPr>
          <w:sz w:val="26"/>
        </w:rPr>
        <w:t>We will be combining these findings with the findings of the one-on-one interviews and developing recommended strategy and messaging for the May 1 meeting.</w:t>
      </w:r>
    </w:p>
    <w:p>
      <w:pPr>
        <w:pStyle w:val="Normal"/>
        <w:rPr>
          <w:sz w:val="26"/>
        </w:rPr>
      </w:pPr>
      <w:r>
        <w:rPr>
          <w:sz w:val="26"/>
        </w:rPr>
      </w:r>
    </w:p>
    <w:p>
      <w:pPr>
        <w:pStyle w:val="Normal"/>
        <w:rPr/>
      </w:pPr>
      <w:r>
        <w:rPr>
          <w:sz w:val="26"/>
        </w:rPr>
        <w:t>Please contact us with any questions in the meantime</w:t>
      </w:r>
      <w:r>
        <w:rPr/>
        <w:t>.</w:t>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Garamond">
    <w:altName w:val="Courier New"/>
    <w:charset w:val="00" w:characterSet="windows-1252"/>
    <w:family w:val="auto"/>
    <w:pitch w:val="variable"/>
  </w:font>
  <w:font w:name="Symbol">
    <w:charset w:val="02"/>
    <w:family w:val="auto"/>
    <w:pitch w:val="variable"/>
  </w:font>
  <w:font w:name="Liberation Sans">
    <w:altName w:val="Arial"/>
    <w:charset w:val="01" w:characterSet="utf-8"/>
    <w:family w:val="swiss"/>
    <w:pitch w:val="variable"/>
  </w:font>
  <w:font w:name="EngraversGothic B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9535" cy="204470"/>
              <wp:effectExtent l="0" t="0" r="0" b="0"/>
              <wp:wrapSquare wrapText="bothSides"/>
              <wp:docPr id="2"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23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Fonts w:ascii="EngraversGothic BT" w:hAnsi="EngraversGothic BT" w:cs="EngraversGothic BT"/>
        <w:sz w:val="20"/>
      </w:rPr>
    </w:pPr>
    <w:r>
      <w:rPr>
        <w:rFonts w:cs="EngraversGothic BT" w:ascii="EngraversGothic BT" w:hAnsi="EngraversGothic BT"/>
        <w:sz w:val="20"/>
      </w:rPr>
      <w:t>568 Broadway, New York, NY  10012</w:t>
      <w:tab/>
      <w:t xml:space="preserve"> www.ssk.com </w:t>
      <w:tab/>
      <w:t>212.274.9500  fax: 212.419.3369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AGaramond;Courier New" w:hAnsi="AGaramond;Courier New" w:cs="AGaramond;Courier New"/>
        <w:b/>
        <w:sz w:val="32"/>
      </w:rPr>
    </w:pPr>
    <w:r>
      <w:rPr>
        <w:rFonts w:cs="AGaramond;Courier New" w:ascii="AGaramond;Courier New" w:hAnsi="AGaramond;Courier New"/>
        <w:b/>
        <w:sz w:val="32"/>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5760" w:leader="none"/>
      </w:tabs>
      <w:outlineLvl w:val="0"/>
    </w:pPr>
    <w:rPr>
      <w:rFonts w:ascii="AGaramond;Courier New" w:hAnsi="AGaramond;Courier New" w:cs="AGaramond;Courier New"/>
      <w:smallCaps/>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SS+K 10TH FLOOR MEMO TEMPLATE</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2001-04-23T17:55:00Z</dcterms:created>
  <dc:creator>SSK</dc:creator>
  <dc:description/>
  <dc:language>en-CA</dc:language>
  <cp:lastModifiedBy>SSK</cp:lastModifiedBy>
  <cp:lastPrinted>2001-04-23T16:44:00Z</cp:lastPrinted>
  <dcterms:modified xsi:type="dcterms:W3CDTF">2001-04-23T18:22:00Z</dcterms:modified>
  <cp:revision>3</cp:revision>
  <dc:subject/>
  <dc:title>MEMORANDUM</dc:title>
</cp:coreProperties>
</file>