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98" w:type="dxa"/>
        <w:jc w:val="start"/>
        <w:tblInd w:w="0" w:type="dxa"/>
        <w:tblLayout w:type="fixed"/>
        <w:tblCellMar>
          <w:top w:w="0" w:type="dxa"/>
          <w:start w:w="108" w:type="dxa"/>
          <w:bottom w:w="0" w:type="dxa"/>
          <w:end w:w="108" w:type="dxa"/>
        </w:tblCellMar>
      </w:tblPr>
      <w:tblGrid>
        <w:gridCol w:w="3618"/>
        <w:gridCol w:w="3240"/>
        <w:gridCol w:w="2340"/>
      </w:tblGrid>
      <w:tr>
        <w:trPr/>
        <w:tc>
          <w:tcPr>
            <w:tcW w:w="3618" w:type="dxa"/>
            <w:tcBorders>
              <w:bottom w:val="single" w:sz="4" w:space="0" w:color="000000"/>
            </w:tcBorders>
          </w:tcPr>
          <w:p>
            <w:pPr>
              <w:pStyle w:val="Heading1"/>
              <w:ind w:hanging="0" w:start="0"/>
              <w:rPr>
                <w:rFonts w:ascii="Arial" w:hAnsi="Arial" w:cs="Arial"/>
                <w:b/>
              </w:rPr>
            </w:pPr>
            <w:r>
              <w:rPr>
                <w:rFonts w:cs="Arial" w:ascii="Arial" w:hAnsi="Arial"/>
                <w:b/>
              </w:rPr>
              <w:t>ENERGY</w:t>
            </w:r>
          </w:p>
          <w:p>
            <w:pPr>
              <w:pStyle w:val="Heading2"/>
              <w:ind w:hanging="0" w:start="0"/>
              <w:rPr/>
            </w:pPr>
            <w:r>
              <w:rPr/>
              <w:t>ADVOCATES LLP</w:t>
            </w:r>
          </w:p>
          <w:p>
            <w:pPr>
              <w:pStyle w:val="Heading3"/>
              <w:ind w:hanging="0" w:start="0"/>
              <w:rPr>
                <w:sz w:val="22"/>
              </w:rPr>
            </w:pPr>
            <w:r>
              <w:rPr>
                <w:sz w:val="22"/>
              </w:rPr>
              <w:t>Attorneys At Law</w:t>
            </w:r>
          </w:p>
          <w:p>
            <w:pPr>
              <w:pStyle w:val="Normal"/>
              <w:rPr>
                <w:sz w:val="22"/>
              </w:rPr>
            </w:pPr>
            <w:r>
              <w:rPr>
                <w:sz w:val="22"/>
              </w:rPr>
            </w:r>
          </w:p>
          <w:p>
            <w:pPr>
              <w:pStyle w:val="Normal"/>
              <w:spacing w:before="0" w:after="80"/>
              <w:rPr>
                <w:rFonts w:ascii="Arial" w:hAnsi="Arial" w:cs="Arial"/>
                <w:b/>
                <w:sz w:val="16"/>
              </w:rPr>
            </w:pPr>
            <w:r>
              <w:rPr>
                <w:rFonts w:cs="Arial" w:ascii="Arial" w:hAnsi="Arial"/>
                <w:b/>
                <w:sz w:val="16"/>
              </w:rPr>
              <w:t>www.energyadvocates.com</w:t>
            </w:r>
          </w:p>
        </w:tc>
        <w:tc>
          <w:tcPr>
            <w:tcW w:w="3240" w:type="dxa"/>
            <w:tcBorders>
              <w:bottom w:val="single" w:sz="4" w:space="0" w:color="000000"/>
            </w:tcBorders>
          </w:tcPr>
          <w:p>
            <w:pPr>
              <w:pStyle w:val="Normal"/>
              <w:snapToGrid w:val="false"/>
              <w:rPr>
                <w:rFonts w:ascii="Arial" w:hAnsi="Arial" w:cs="Arial"/>
                <w:b/>
                <w:sz w:val="8"/>
              </w:rPr>
            </w:pPr>
            <w:r>
              <w:rPr>
                <w:rFonts w:cs="Arial" w:ascii="Arial" w:hAnsi="Arial"/>
                <w:b/>
                <w:sz w:val="8"/>
              </w:rPr>
            </w:r>
          </w:p>
          <w:p>
            <w:pPr>
              <w:pStyle w:val="Normal"/>
              <w:rPr/>
            </w:pPr>
            <w:r>
              <w:rPr>
                <w:rFonts w:cs="Arial" w:ascii="Arial" w:hAnsi="Arial"/>
                <w:sz w:val="16"/>
              </w:rPr>
              <w:t xml:space="preserve">526 </w:t>
            </w:r>
            <w:r>
              <w:rPr>
                <w:rFonts w:cs="Arial" w:ascii="Arial" w:hAnsi="Arial"/>
                <w:smallCaps/>
                <w:sz w:val="16"/>
              </w:rPr>
              <w:t>NW 18</w:t>
            </w:r>
            <w:r>
              <w:rPr>
                <w:rFonts w:cs="Arial" w:ascii="Arial" w:hAnsi="Arial"/>
                <w:smallCaps/>
                <w:sz w:val="16"/>
                <w:vertAlign w:val="superscript"/>
              </w:rPr>
              <w:t>TH</w:t>
            </w:r>
            <w:r>
              <w:rPr>
                <w:rFonts w:cs="Arial" w:ascii="Arial" w:hAnsi="Arial"/>
                <w:smallCaps/>
                <w:sz w:val="16"/>
              </w:rPr>
              <w:t xml:space="preserve"> Avenue</w:t>
            </w:r>
          </w:p>
          <w:p>
            <w:pPr>
              <w:pStyle w:val="Normal"/>
              <w:rPr>
                <w:rFonts w:ascii="Arial" w:hAnsi="Arial" w:cs="Arial"/>
                <w:smallCaps/>
                <w:sz w:val="16"/>
              </w:rPr>
            </w:pPr>
            <w:r>
              <w:rPr>
                <w:rFonts w:cs="Arial" w:ascii="Arial" w:hAnsi="Arial"/>
                <w:smallCaps/>
                <w:sz w:val="16"/>
              </w:rPr>
              <w:t>Portland, OR  97209-2220</w:t>
            </w:r>
          </w:p>
          <w:p>
            <w:pPr>
              <w:pStyle w:val="Normal"/>
              <w:rPr>
                <w:rFonts w:ascii="Arial" w:hAnsi="Arial" w:cs="Arial"/>
                <w:sz w:val="16"/>
              </w:rPr>
            </w:pPr>
            <w:r>
              <w:rPr>
                <w:rFonts w:cs="Arial" w:ascii="Arial" w:hAnsi="Arial"/>
                <w:sz w:val="16"/>
              </w:rPr>
              <w:t>Phone: (503) 721-9118</w:t>
            </w:r>
          </w:p>
          <w:p>
            <w:pPr>
              <w:pStyle w:val="Normal"/>
              <w:rPr>
                <w:rFonts w:ascii="Arial" w:hAnsi="Arial" w:cs="Arial"/>
                <w:sz w:val="16"/>
              </w:rPr>
            </w:pPr>
            <w:r>
              <w:rPr>
                <w:rFonts w:cs="Arial" w:ascii="Arial" w:hAnsi="Arial"/>
                <w:sz w:val="16"/>
              </w:rPr>
              <w:t>Fax:     (503) 721-9121</w:t>
            </w:r>
          </w:p>
        </w:tc>
        <w:tc>
          <w:tcPr>
            <w:tcW w:w="2340" w:type="dxa"/>
            <w:tcBorders>
              <w:bottom w:val="single" w:sz="4" w:space="0" w:color="000000"/>
            </w:tcBorders>
          </w:tcPr>
          <w:p>
            <w:pPr>
              <w:pStyle w:val="Normal"/>
              <w:snapToGrid w:val="false"/>
              <w:jc w:val="end"/>
              <w:rPr>
                <w:rFonts w:ascii="Arial" w:hAnsi="Arial" w:cs="Arial"/>
                <w:smallCaps/>
                <w:sz w:val="8"/>
              </w:rPr>
            </w:pPr>
            <w:r>
              <w:rPr>
                <w:rFonts w:cs="Arial" w:ascii="Arial" w:hAnsi="Arial"/>
                <w:smallCaps/>
                <w:sz w:val="8"/>
              </w:rPr>
            </w:r>
          </w:p>
          <w:p>
            <w:pPr>
              <w:pStyle w:val="Normal"/>
              <w:jc w:val="end"/>
              <w:rPr>
                <w:rFonts w:ascii="Arial" w:hAnsi="Arial" w:cs="Arial"/>
                <w:smallCaps/>
                <w:sz w:val="16"/>
              </w:rPr>
            </w:pPr>
            <w:r>
              <w:rPr>
                <w:rFonts w:cs="Arial" w:ascii="Arial" w:hAnsi="Arial"/>
                <w:smallCaps/>
                <w:sz w:val="16"/>
              </w:rPr>
              <w:t>1500 K Street, NW</w:t>
            </w:r>
          </w:p>
          <w:p>
            <w:pPr>
              <w:pStyle w:val="Normal"/>
              <w:jc w:val="end"/>
              <w:rPr>
                <w:rFonts w:ascii="Arial" w:hAnsi="Arial" w:cs="Arial"/>
                <w:smallCaps/>
                <w:sz w:val="16"/>
              </w:rPr>
            </w:pPr>
            <w:r>
              <w:rPr>
                <w:rFonts w:cs="Arial" w:ascii="Arial" w:hAnsi="Arial"/>
                <w:smallCaps/>
                <w:sz w:val="16"/>
              </w:rPr>
              <w:t>Suite  330</w:t>
            </w:r>
          </w:p>
          <w:p>
            <w:pPr>
              <w:pStyle w:val="Normal"/>
              <w:jc w:val="end"/>
              <w:rPr>
                <w:rFonts w:ascii="Arial" w:hAnsi="Arial" w:cs="Arial"/>
                <w:smallCaps/>
                <w:sz w:val="16"/>
              </w:rPr>
            </w:pPr>
            <w:r>
              <w:rPr>
                <w:rFonts w:cs="Arial" w:ascii="Arial" w:hAnsi="Arial"/>
                <w:smallCaps/>
                <w:sz w:val="16"/>
              </w:rPr>
              <w:t>Washington DC 20005</w:t>
            </w:r>
          </w:p>
          <w:p>
            <w:pPr>
              <w:pStyle w:val="Normal"/>
              <w:jc w:val="end"/>
              <w:rPr>
                <w:rFonts w:ascii="Arial" w:hAnsi="Arial" w:cs="Arial"/>
                <w:smallCaps/>
                <w:sz w:val="16"/>
              </w:rPr>
            </w:pPr>
            <w:r>
              <w:rPr>
                <w:rFonts w:cs="Arial" w:ascii="Arial" w:hAnsi="Arial"/>
                <w:smallCaps/>
                <w:sz w:val="16"/>
              </w:rPr>
              <w:t>Phone :    (202) 371-9889</w:t>
            </w:r>
          </w:p>
          <w:p>
            <w:pPr>
              <w:pStyle w:val="Normal"/>
              <w:jc w:val="end"/>
              <w:rPr>
                <w:rFonts w:ascii="Arial" w:hAnsi="Arial" w:cs="Arial"/>
                <w:smallCaps/>
                <w:sz w:val="16"/>
              </w:rPr>
            </w:pPr>
            <w:r>
              <w:rPr>
                <w:rFonts w:eastAsia="Arial" w:cs="Arial" w:ascii="Arial" w:hAnsi="Arial"/>
                <w:smallCaps/>
                <w:sz w:val="16"/>
              </w:rPr>
              <w:t xml:space="preserve"> </w:t>
            </w:r>
            <w:r>
              <w:rPr>
                <w:rFonts w:cs="Arial" w:ascii="Arial" w:hAnsi="Arial"/>
                <w:smallCaps/>
                <w:sz w:val="16"/>
              </w:rPr>
              <w:t>Fax:          (202) 371-9025</w:t>
            </w:r>
          </w:p>
        </w:tc>
      </w:tr>
    </w:tbl>
    <w:p>
      <w:pPr>
        <w:pStyle w:val="Normal"/>
        <w:rPr>
          <w:rFonts w:ascii="Arial" w:hAnsi="Arial" w:cs="Arial"/>
          <w:b/>
          <w:sz w:val="8"/>
        </w:rPr>
      </w:pPr>
      <w:r>
        <w:rPr>
          <w:rFonts w:cs="Arial" w:ascii="Arial" w:hAnsi="Arial"/>
          <w:b/>
          <w:sz w:val="8"/>
        </w:rPr>
      </w:r>
    </w:p>
    <w:p>
      <w:pPr>
        <w:pStyle w:val="Normal"/>
        <w:rPr>
          <w:rFonts w:ascii="Arial" w:hAnsi="Arial" w:cs="Arial"/>
          <w:b/>
          <w:sz w:val="16"/>
        </w:rPr>
      </w:pPr>
      <w:r>
        <w:rPr>
          <w:rFonts w:cs="Arial" w:ascii="Arial" w:hAnsi="Arial"/>
          <w:b/>
          <w:sz w:val="16"/>
        </w:rPr>
        <w:t>jlgreene@energyadvocates.com</w: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Heading4"/>
        <w:ind w:hanging="0" w:start="0"/>
        <w:rPr/>
      </w:pPr>
      <w:r>
        <w:rPr/>
        <w:t xml:space="preserve">PRIVILEGED AND CONFIDENTIAL </w:t>
      </w:r>
    </w:p>
    <w:p>
      <w:pPr>
        <w:pStyle w:val="Normal"/>
        <w:jc w:val="center"/>
        <w:rPr>
          <w:rFonts w:ascii="Arial" w:hAnsi="Arial" w:cs="Arial"/>
          <w:b/>
          <w:bCs/>
          <w:sz w:val="32"/>
        </w:rPr>
      </w:pPr>
      <w:r>
        <w:rPr>
          <w:rFonts w:cs="Arial" w:ascii="Arial" w:hAnsi="Arial"/>
          <w:b/>
          <w:bCs/>
          <w:sz w:val="32"/>
        </w:rPr>
        <w:t>FOR SETTLEMENT DISCUSSIONS ONLY</w:t>
      </w:r>
    </w:p>
    <w:p>
      <w:pPr>
        <w:pStyle w:val="Normal"/>
        <w:jc w:val="center"/>
        <w:rPr>
          <w:rFonts w:ascii="Arial" w:hAnsi="Arial" w:cs="Arial"/>
          <w:b/>
          <w:bCs/>
          <w:sz w:val="32"/>
        </w:rPr>
      </w:pPr>
      <w:r>
        <w:rPr>
          <w:rFonts w:cs="Arial" w:ascii="Arial" w:hAnsi="Arial"/>
          <w:b/>
          <w:bCs/>
          <w:sz w:val="32"/>
        </w:rPr>
      </w:r>
    </w:p>
    <w:tbl>
      <w:tblPr>
        <w:tblW w:w="9216" w:type="dxa"/>
        <w:jc w:val="start"/>
        <w:tblInd w:w="0" w:type="dxa"/>
        <w:tblLayout w:type="fixed"/>
        <w:tblCellMar>
          <w:top w:w="0" w:type="dxa"/>
          <w:start w:w="108" w:type="dxa"/>
          <w:bottom w:w="0" w:type="dxa"/>
          <w:end w:w="108" w:type="dxa"/>
        </w:tblCellMar>
      </w:tblPr>
      <w:tblGrid>
        <w:gridCol w:w="1188"/>
        <w:gridCol w:w="8028"/>
      </w:tblGrid>
      <w:tr>
        <w:trPr/>
        <w:tc>
          <w:tcPr>
            <w:tcW w:w="1188" w:type="dxa"/>
            <w:tcBorders/>
          </w:tcPr>
          <w:p>
            <w:pPr>
              <w:pStyle w:val="Normal"/>
              <w:rPr>
                <w:rFonts w:ascii="Arial" w:hAnsi="Arial" w:cs="Arial"/>
                <w:b/>
              </w:rPr>
            </w:pPr>
            <w:r>
              <w:rPr>
                <w:rFonts w:cs="Arial" w:ascii="Arial" w:hAnsi="Arial"/>
                <w:b/>
              </w:rPr>
              <w:t>TO:</w:t>
            </w:r>
          </w:p>
          <w:p>
            <w:pPr>
              <w:pStyle w:val="Normal"/>
              <w:rPr>
                <w:rFonts w:ascii="Arial" w:hAnsi="Arial" w:cs="Arial"/>
                <w:b/>
              </w:rPr>
            </w:pPr>
            <w:r>
              <w:rPr>
                <w:rFonts w:cs="Arial" w:ascii="Arial" w:hAnsi="Arial"/>
                <w:b/>
              </w:rPr>
            </w:r>
          </w:p>
        </w:tc>
        <w:tc>
          <w:tcPr>
            <w:tcW w:w="8028" w:type="dxa"/>
            <w:tcBorders/>
          </w:tcPr>
          <w:p>
            <w:pPr>
              <w:pStyle w:val="Normal"/>
              <w:rPr>
                <w:rFonts w:ascii="Arial" w:hAnsi="Arial" w:cs="Arial"/>
              </w:rPr>
            </w:pPr>
            <w:r>
              <w:rPr>
                <w:rFonts w:cs="Arial" w:ascii="Arial" w:hAnsi="Arial"/>
              </w:rPr>
              <w:t>All Parties Represented at July 18/19, 2001 Technical Conference</w:t>
            </w:r>
          </w:p>
          <w:p>
            <w:pPr>
              <w:pStyle w:val="Normal"/>
              <w:rPr>
                <w:rFonts w:ascii="Arial" w:hAnsi="Arial" w:cs="Arial"/>
              </w:rPr>
            </w:pPr>
            <w:r>
              <w:rPr>
                <w:rFonts w:cs="Arial" w:ascii="Arial" w:hAnsi="Arial"/>
              </w:rPr>
            </w:r>
          </w:p>
        </w:tc>
      </w:tr>
      <w:tr>
        <w:trPr/>
        <w:tc>
          <w:tcPr>
            <w:tcW w:w="1188" w:type="dxa"/>
            <w:tcBorders/>
          </w:tcPr>
          <w:p>
            <w:pPr>
              <w:pStyle w:val="Normal"/>
              <w:rPr>
                <w:rFonts w:ascii="Arial" w:hAnsi="Arial" w:cs="Arial"/>
                <w:b/>
              </w:rPr>
            </w:pPr>
            <w:r>
              <w:rPr>
                <w:rFonts w:cs="Arial" w:ascii="Arial" w:hAnsi="Arial"/>
                <w:b/>
              </w:rPr>
              <w:t>FROM:</w:t>
            </w:r>
          </w:p>
          <w:p>
            <w:pPr>
              <w:pStyle w:val="Normal"/>
              <w:rPr>
                <w:rFonts w:ascii="Arial" w:hAnsi="Arial" w:cs="Arial"/>
                <w:b/>
              </w:rPr>
            </w:pPr>
            <w:r>
              <w:rPr>
                <w:rFonts w:cs="Arial" w:ascii="Arial" w:hAnsi="Arial"/>
                <w:b/>
              </w:rPr>
            </w:r>
          </w:p>
        </w:tc>
        <w:tc>
          <w:tcPr>
            <w:tcW w:w="8028" w:type="dxa"/>
            <w:tcBorders/>
          </w:tcPr>
          <w:p>
            <w:pPr>
              <w:pStyle w:val="Normal"/>
              <w:rPr>
                <w:rFonts w:ascii="Arial" w:hAnsi="Arial" w:cs="Arial"/>
              </w:rPr>
            </w:pPr>
            <w:r>
              <w:rPr>
                <w:rFonts w:cs="Arial" w:ascii="Arial" w:hAnsi="Arial"/>
              </w:rPr>
              <w:t>Joel L. Greene</w:t>
            </w:r>
          </w:p>
        </w:tc>
      </w:tr>
      <w:tr>
        <w:trPr/>
        <w:tc>
          <w:tcPr>
            <w:tcW w:w="1188" w:type="dxa"/>
            <w:tcBorders/>
          </w:tcPr>
          <w:p>
            <w:pPr>
              <w:pStyle w:val="Normal"/>
              <w:rPr>
                <w:rFonts w:ascii="Arial" w:hAnsi="Arial" w:cs="Arial"/>
                <w:b/>
              </w:rPr>
            </w:pPr>
            <w:r>
              <w:rPr>
                <w:rFonts w:cs="Arial" w:ascii="Arial" w:hAnsi="Arial"/>
                <w:b/>
              </w:rPr>
              <w:t>DATE:</w:t>
            </w:r>
          </w:p>
          <w:p>
            <w:pPr>
              <w:pStyle w:val="Normal"/>
              <w:rPr>
                <w:rFonts w:ascii="Arial" w:hAnsi="Arial" w:cs="Arial"/>
                <w:b/>
              </w:rPr>
            </w:pPr>
            <w:r>
              <w:rPr>
                <w:rFonts w:cs="Arial" w:ascii="Arial" w:hAnsi="Arial"/>
                <w:b/>
              </w:rPr>
            </w:r>
          </w:p>
        </w:tc>
        <w:tc>
          <w:tcPr>
            <w:tcW w:w="8028" w:type="dxa"/>
            <w:tcBorders/>
          </w:tcPr>
          <w:p>
            <w:pPr>
              <w:pStyle w:val="Normal"/>
              <w:rPr>
                <w:rFonts w:ascii="Arial" w:hAnsi="Arial" w:cs="Arial"/>
              </w:rPr>
            </w:pPr>
            <w:r>
              <w:rPr>
                <w:rFonts w:cs="Arial" w:ascii="Arial" w:hAnsi="Arial"/>
              </w:rPr>
              <w:t>July 30, 2001</w:t>
            </w:r>
          </w:p>
        </w:tc>
      </w:tr>
      <w:tr>
        <w:trPr/>
        <w:tc>
          <w:tcPr>
            <w:tcW w:w="1188" w:type="dxa"/>
            <w:tcBorders/>
          </w:tcPr>
          <w:p>
            <w:pPr>
              <w:pStyle w:val="Normal"/>
              <w:rPr>
                <w:rFonts w:ascii="Arial" w:hAnsi="Arial" w:cs="Arial"/>
                <w:b/>
              </w:rPr>
            </w:pPr>
            <w:r>
              <w:rPr>
                <w:rFonts w:cs="Arial" w:ascii="Arial" w:hAnsi="Arial"/>
                <w:b/>
              </w:rPr>
              <w:t>RE:</w:t>
            </w:r>
          </w:p>
        </w:tc>
        <w:tc>
          <w:tcPr>
            <w:tcW w:w="8028" w:type="dxa"/>
            <w:tcBorders/>
          </w:tcPr>
          <w:p>
            <w:pPr>
              <w:pStyle w:val="Normal"/>
              <w:rPr>
                <w:rFonts w:ascii="Arial" w:hAnsi="Arial" w:cs="Arial"/>
              </w:rPr>
            </w:pPr>
            <w:r>
              <w:rPr>
                <w:rFonts w:cs="Arial" w:ascii="Arial" w:hAnsi="Arial"/>
              </w:rPr>
              <w:t>El Paso Natural Gas Company, Docket No. RP00-336-000 et al.</w:t>
            </w:r>
          </w:p>
        </w:tc>
      </w:tr>
    </w:tbl>
    <w:p>
      <w:pPr>
        <w:pStyle w:val="Normal"/>
        <w:rPr>
          <w:rFonts w:ascii="Arial" w:hAnsi="Arial" w:cs="Arial"/>
          <w:b/>
          <w:sz w:val="16"/>
        </w:rPr>
      </w:pPr>
      <w:r>
        <w:rPr>
          <w:rFonts w:cs="Arial" w:ascii="Arial" w:hAnsi="Arial"/>
          <w:b/>
          <w:sz w:val="16"/>
        </w:rPr>
      </w:r>
    </w:p>
    <w:p>
      <w:pPr>
        <w:pStyle w:val="Normal"/>
        <w:rPr/>
      </w:pPr>
      <w:r>
        <w:rPr/>
        <w:tab/>
      </w:r>
      <w:r>
        <w:rPr>
          <w:rFonts w:cs="Arial" w:ascii="Arial" w:hAnsi="Arial"/>
        </w:rPr>
        <w:t>At the Technical Conference held July 19, 2001, representatives of Salt River Project presented a conceptual solution to the capacity allocation issues plaguing the El Paso system, and responded to questions thereafter.  Following the conclusion of the Technical Conference, we indicated our intention to package those concepts in a more detailed settlement proposal and to circulate it for comment to all attendees.  We also presented a schedule intended to (1) give parties the opportunity to review El Paso's four capacity studies due August 13, prior to commenting on our proposal or proposing alternative proposals; and (2) maintain an aggressive yet reasonable settlement momentum through specific dates for discovery, responses, other proposals, meetings, and circulation of drafts of a stipulation and agreement.  A copy of the schedule (with specific dates) is separately provided.</w:t>
      </w:r>
    </w:p>
    <w:p>
      <w:pPr>
        <w:pStyle w:val="Normal"/>
        <w:rPr>
          <w:rFonts w:ascii="Arial" w:hAnsi="Arial" w:cs="Arial"/>
        </w:rPr>
      </w:pPr>
      <w:r>
        <w:rPr>
          <w:rFonts w:cs="Arial" w:ascii="Arial" w:hAnsi="Arial"/>
        </w:rPr>
        <w:tab/>
      </w:r>
    </w:p>
    <w:p>
      <w:pPr>
        <w:pStyle w:val="Normal"/>
        <w:rPr>
          <w:rFonts w:ascii="Arial" w:hAnsi="Arial" w:cs="Arial"/>
        </w:rPr>
      </w:pPr>
      <w:r>
        <w:rPr>
          <w:rFonts w:cs="Arial" w:ascii="Arial" w:hAnsi="Arial"/>
        </w:rPr>
        <w:tab/>
        <w:t>As discussed conceptually at the Technical Conference, SRP believes that the attached proposal will bring an equitable resolution to the capacity issues on the El Paso system by:</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Creating a realistic baseline of system capacity by requiring El Paso to add approximately 700 MMcfd of mainline capacity exclusive of Line 2000.</w:t>
      </w:r>
    </w:p>
    <w:p>
      <w:pPr>
        <w:pStyle w:val="Normal"/>
        <w:numPr>
          <w:ilvl w:val="0"/>
          <w:numId w:val="2"/>
        </w:numPr>
        <w:rPr>
          <w:rFonts w:ascii="Arial" w:hAnsi="Arial" w:cs="Arial"/>
        </w:rPr>
      </w:pPr>
      <w:r>
        <w:rPr>
          <w:rFonts w:cs="Arial" w:ascii="Arial" w:hAnsi="Arial"/>
        </w:rPr>
        <w:t>Respecting the sanctity of all FT shipper contracts and honoring the 1996 Settlement.</w:t>
      </w:r>
    </w:p>
    <w:p>
      <w:pPr>
        <w:pStyle w:val="Normal"/>
        <w:numPr>
          <w:ilvl w:val="0"/>
          <w:numId w:val="2"/>
        </w:numPr>
        <w:rPr>
          <w:rFonts w:ascii="Arial" w:hAnsi="Arial" w:cs="Arial"/>
        </w:rPr>
      </w:pPr>
      <w:r>
        <w:rPr>
          <w:rFonts w:cs="Arial" w:ascii="Arial" w:hAnsi="Arial"/>
        </w:rPr>
        <w:t>Establishing equitable entitlements for Full Requirements shippers.</w:t>
      </w:r>
    </w:p>
    <w:p>
      <w:pPr>
        <w:pStyle w:val="Normal"/>
        <w:numPr>
          <w:ilvl w:val="0"/>
          <w:numId w:val="2"/>
        </w:numPr>
        <w:rPr>
          <w:rFonts w:ascii="Arial" w:hAnsi="Arial" w:cs="Arial"/>
        </w:rPr>
      </w:pPr>
      <w:r>
        <w:rPr>
          <w:rFonts w:cs="Arial" w:ascii="Arial" w:hAnsi="Arial"/>
        </w:rPr>
        <w:t>Realigning cost responsibility in accordance with firm entitlements.</w:t>
      </w:r>
    </w:p>
    <w:p>
      <w:pPr>
        <w:pStyle w:val="Normal"/>
        <w:numPr>
          <w:ilvl w:val="0"/>
          <w:numId w:val="2"/>
        </w:numPr>
        <w:rPr>
          <w:rFonts w:ascii="Arial" w:hAnsi="Arial" w:cs="Arial"/>
        </w:rPr>
      </w:pPr>
      <w:r>
        <w:rPr>
          <w:rFonts w:cs="Arial" w:ascii="Arial" w:hAnsi="Arial"/>
        </w:rPr>
        <w:t>Providing for CD shippers' receipt of their full entitlements.</w:t>
      </w:r>
    </w:p>
    <w:p>
      <w:pPr>
        <w:pStyle w:val="Normal"/>
        <w:numPr>
          <w:ilvl w:val="0"/>
          <w:numId w:val="2"/>
        </w:numPr>
        <w:rPr>
          <w:rFonts w:ascii="Arial" w:hAnsi="Arial" w:cs="Arial"/>
        </w:rPr>
      </w:pPr>
      <w:r>
        <w:rPr>
          <w:rFonts w:cs="Arial" w:ascii="Arial" w:hAnsi="Arial"/>
        </w:rPr>
        <w:t>Creating a hierarchal system of pooling.</w:t>
      </w:r>
    </w:p>
    <w:p>
      <w:pPr>
        <w:pStyle w:val="Normal"/>
        <w:numPr>
          <w:ilvl w:val="0"/>
          <w:numId w:val="2"/>
        </w:numPr>
        <w:rPr>
          <w:rFonts w:ascii="Arial" w:hAnsi="Arial" w:cs="Arial"/>
        </w:rPr>
      </w:pPr>
      <w:r>
        <w:rPr>
          <w:rFonts w:cs="Arial" w:ascii="Arial" w:hAnsi="Arial"/>
        </w:rPr>
        <w:t>Resolving five contentious proceedings, including three complaints.</w:t>
      </w:r>
    </w:p>
    <w:p>
      <w:pPr>
        <w:pStyle w:val="Normal"/>
        <w:ind w:firstLine="360" w:end="0"/>
        <w:rPr/>
      </w:pPr>
      <w:r>
        <w:rPr>
          <w:rFonts w:cs="Arial" w:ascii="Arial" w:hAnsi="Arial"/>
        </w:rPr>
        <w:t xml:space="preserve">SRP firmly believes, based on its conversations with the parties and Commission Staff, that this proposal contains all the key elements, which once approved by the Commission, would permit El Paso to once again operate as a "traditional" interstate pipeline, honoring its commitments to its historical firm shippers, providing reliability of service in </w:t>
      </w:r>
      <w:r>
        <w:rPr>
          <w:rFonts w:cs="Arial" w:ascii="Arial" w:hAnsi="Arial"/>
          <w:u w:val="single"/>
        </w:rPr>
        <w:t xml:space="preserve">every </w:t>
      </w:r>
      <w:r>
        <w:rPr>
          <w:rFonts w:cs="Arial" w:ascii="Arial" w:hAnsi="Arial"/>
        </w:rPr>
        <w:t>state it serves, and being encouraged to develop new expansion opportunities in concert with and not as a threat to any of its firm shippers.</w:t>
      </w:r>
    </w:p>
    <w:p>
      <w:pPr>
        <w:pStyle w:val="Normal"/>
        <w:ind w:firstLine="360" w:end="0"/>
        <w:rPr>
          <w:rFonts w:ascii="Arial" w:hAnsi="Arial" w:cs="Arial"/>
        </w:rPr>
      </w:pPr>
      <w:r>
        <w:rPr>
          <w:rFonts w:cs="Arial" w:ascii="Arial" w:hAnsi="Arial"/>
        </w:rPr>
      </w:r>
    </w:p>
    <w:p>
      <w:pPr>
        <w:pStyle w:val="Normal"/>
        <w:ind w:firstLine="360" w:end="0"/>
        <w:rPr>
          <w:rFonts w:ascii="Arial" w:hAnsi="Arial" w:cs="Arial"/>
        </w:rPr>
      </w:pPr>
      <w:r>
        <w:rPr>
          <w:rFonts w:cs="Arial" w:ascii="Arial" w:hAnsi="Arial"/>
        </w:rPr>
        <w:t xml:space="preserve">We look forward to working with the parties and El Paso on this draft, and invite each party to participate (or continue to participate) in the process established herein to arrive at a final settlement.  Given El Paso's reluctance to participate in any settlement conferences absent a Commission order establishing a settlement process in this and the four related FERC proceedings, it is currently SRP's intention to prepare a joint motion to establish the first settlement conference, currently scheduled for October 16.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rPr>
          <w:rFonts w:ascii="Arial" w:hAnsi="Arial" w:cs="Arial"/>
        </w:rPr>
      </w:pPr>
      <w:r>
        <w:rPr>
          <w:rFonts w:cs="Arial" w:ascii="Arial" w:hAnsi="Arial"/>
        </w:rPr>
        <w:t>Cc: G. Reeves (SRP)</w:t>
      </w:r>
    </w:p>
    <w:p>
      <w:pPr>
        <w:pStyle w:val="Normal"/>
        <w:rPr>
          <w:rFonts w:ascii="Arial" w:hAnsi="Arial" w:cs="Arial"/>
        </w:rPr>
      </w:pPr>
      <w:r>
        <w:rPr>
          <w:rFonts w:eastAsia="Arial" w:cs="Arial" w:ascii="Arial" w:hAnsi="Arial"/>
        </w:rPr>
        <w:t xml:space="preserve">       </w:t>
      </w:r>
      <w:r>
        <w:rPr>
          <w:rFonts w:cs="Arial" w:ascii="Arial" w:hAnsi="Arial"/>
        </w:rPr>
        <w:t>D. McVicker (SRP)</w:t>
      </w:r>
    </w:p>
    <w:p>
      <w:pPr>
        <w:pStyle w:val="Normal"/>
        <w:rPr>
          <w:rFonts w:ascii="Arial" w:hAnsi="Arial" w:cs="Arial"/>
        </w:rPr>
      </w:pPr>
      <w:r>
        <w:rPr>
          <w:rFonts w:eastAsia="Arial" w:cs="Arial" w:ascii="Arial" w:hAnsi="Arial"/>
        </w:rPr>
        <w:t xml:space="preserve">       </w:t>
      </w:r>
      <w:r>
        <w:rPr>
          <w:rFonts w:cs="Arial" w:ascii="Arial" w:hAnsi="Arial"/>
        </w:rPr>
        <w:t>K. Price (SRP)</w:t>
      </w:r>
    </w:p>
    <w:p>
      <w:pPr>
        <w:pStyle w:val="Normal"/>
        <w:rPr>
          <w:rFonts w:ascii="Arial" w:hAnsi="Arial" w:cs="Arial"/>
        </w:rPr>
      </w:pPr>
      <w:r>
        <w:rPr>
          <w:rFonts w:eastAsia="Arial" w:cs="Arial" w:ascii="Arial" w:hAnsi="Arial"/>
        </w:rPr>
        <w:t xml:space="preserve">       </w:t>
      </w:r>
      <w:r>
        <w:rPr>
          <w:rFonts w:cs="Arial" w:ascii="Arial" w:hAnsi="Arial"/>
        </w:rPr>
        <w:t>G. Lander (Skipping Stone)</w:t>
      </w:r>
    </w:p>
    <w:p>
      <w:pPr>
        <w:pStyle w:val="Normal"/>
        <w:rPr>
          <w:rFonts w:ascii="Arial" w:hAnsi="Arial" w:cs="Arial"/>
        </w:rPr>
      </w:pPr>
      <w:r>
        <w:rPr>
          <w:rFonts w:eastAsia="Arial" w:cs="Arial" w:ascii="Arial" w:hAnsi="Arial"/>
        </w:rPr>
        <w:t xml:space="preserve">       </w:t>
      </w:r>
      <w:r>
        <w:rPr>
          <w:rFonts w:cs="Arial" w:ascii="Arial" w:hAnsi="Arial"/>
        </w:rPr>
        <w:t>R. Miles (FERC)</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0"/>
      </w:rPr>
    </w:pPr>
    <w:r>
      <w:rPr>
        <w:sz w:val="20"/>
      </w:rPr>
      <w:t>PRIVILEGED AND CONFIDENTIAL</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ind w:end="360"/>
      <w:rPr>
        <w:sz w:val="20"/>
      </w:rPr>
    </w:pPr>
    <w:r>
      <w:rPr>
        <w:sz w:val="20"/>
      </w:rPr>
      <w:t>FOR SETTLEMENT DISCUSSIONS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outlineLvl w:val="1"/>
    </w:pPr>
    <w:rPr>
      <w:rFonts w:ascii="Arial" w:hAnsi="Arial" w:cs="Arial"/>
      <w:b/>
      <w:sz w:val="32"/>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jc w:val="center"/>
      <w:outlineLvl w:val="3"/>
    </w:pPr>
    <w:rPr>
      <w:rFonts w:ascii="Arial" w:hAnsi="Arial" w:cs="Arial"/>
      <w:b/>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MEMO-P&amp;C - NEW</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2001-07-26T15:15:00Z</dcterms:created>
  <dc:creator>Joel Greene</dc:creator>
  <dc:description/>
  <dc:language>en-CA</dc:language>
  <cp:lastModifiedBy>Joel Greene</cp:lastModifiedBy>
  <dcterms:modified xsi:type="dcterms:W3CDTF">2001-07-30T12:26:00Z</dcterms:modified>
  <cp:revision>8</cp:revision>
  <dc:subject/>
  <dc:title>ENERGY</dc:title>
</cp:coreProperties>
</file>