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PRIVILEGED AND CONFIDENTIAL</w:t>
      </w:r>
    </w:p>
    <w:p>
      <w:pPr>
        <w:pStyle w:val="Heading"/>
        <w:rPr>
          <w:rFonts w:ascii="Arial" w:hAnsi="Arial" w:cs="Arial"/>
        </w:rPr>
      </w:pPr>
      <w:r>
        <w:rPr>
          <w:rFonts w:cs="Arial" w:ascii="Arial" w:hAnsi="Arial"/>
        </w:rPr>
        <w:t>FOR SETTLEMENT PURPOSES ONLY</w:t>
      </w:r>
    </w:p>
    <w:p>
      <w:pPr>
        <w:pStyle w:val="Heading"/>
        <w:rPr>
          <w:rFonts w:ascii="Arial" w:hAnsi="Arial" w:cs="Arial"/>
        </w:rPr>
      </w:pPr>
      <w:r>
        <w:rPr>
          <w:rFonts w:cs="Arial" w:ascii="Arial" w:hAnsi="Arial"/>
        </w:rPr>
      </w:r>
    </w:p>
    <w:p>
      <w:pPr>
        <w:pStyle w:val="Subtitle"/>
        <w:rPr>
          <w:rFonts w:ascii="Arial" w:hAnsi="Arial" w:cs="Arial"/>
        </w:rPr>
      </w:pPr>
      <w:r>
        <w:rPr>
          <w:rFonts w:cs="Arial" w:ascii="Arial" w:hAnsi="Arial"/>
        </w:rPr>
        <w:t>Receipt Capacity Allocation Proposal</w:t>
      </w:r>
    </w:p>
    <w:p>
      <w:pPr>
        <w:pStyle w:val="Normal"/>
        <w:jc w:val="center"/>
        <w:rPr>
          <w:rFonts w:ascii="Arial" w:hAnsi="Arial" w:cs="Arial"/>
          <w:b/>
          <w:sz w:val="24"/>
        </w:rPr>
      </w:pPr>
      <w:r>
        <w:rPr>
          <w:rFonts w:cs="Arial" w:ascii="Arial" w:hAnsi="Arial"/>
          <w:b/>
          <w:sz w:val="24"/>
        </w:rPr>
        <w:t>Prepared by Salt River Project</w:t>
      </w:r>
    </w:p>
    <w:p>
      <w:pPr>
        <w:pStyle w:val="Normal"/>
        <w:jc w:val="center"/>
        <w:rPr>
          <w:rFonts w:ascii="Arial" w:hAnsi="Arial" w:cs="Arial"/>
          <w:b/>
          <w:sz w:val="24"/>
        </w:rPr>
      </w:pPr>
      <w:r>
        <w:rPr>
          <w:rFonts w:cs="Arial" w:ascii="Arial" w:hAnsi="Arial"/>
          <w:b/>
          <w:sz w:val="24"/>
        </w:rPr>
        <w:t>July 30, 2001</w:t>
      </w:r>
    </w:p>
    <w:p>
      <w:pPr>
        <w:pStyle w:val="Normal"/>
        <w:jc w:val="center"/>
        <w:rPr>
          <w:rFonts w:ascii="Arial" w:hAnsi="Arial" w:cs="Arial"/>
          <w:b/>
          <w:sz w:val="24"/>
        </w:rPr>
      </w:pPr>
      <w:r>
        <w:rPr>
          <w:rFonts w:cs="Arial" w:ascii="Arial" w:hAnsi="Arial"/>
          <w:b/>
          <w:sz w:val="24"/>
        </w:rPr>
      </w:r>
    </w:p>
    <w:p>
      <w:pPr>
        <w:pStyle w:val="Heading1"/>
        <w:ind w:hanging="0" w:start="0"/>
        <w:rPr>
          <w:rFonts w:ascii="Arial" w:hAnsi="Arial" w:cs="Arial"/>
        </w:rPr>
      </w:pPr>
      <w:r>
        <w:rPr>
          <w:rFonts w:cs="Arial" w:ascii="Arial" w:hAnsi="Arial"/>
        </w:rPr>
        <w:t>El Paso Natural Gas Company</w:t>
      </w:r>
    </w:p>
    <w:p>
      <w:pPr>
        <w:pStyle w:val="Heading2"/>
        <w:ind w:hanging="0" w:start="0"/>
        <w:rPr>
          <w:rFonts w:ascii="Arial" w:hAnsi="Arial" w:cs="Arial"/>
          <w:u w:val="none"/>
        </w:rPr>
      </w:pPr>
      <w:r>
        <w:rPr>
          <w:rFonts w:cs="Arial" w:ascii="Arial" w:hAnsi="Arial"/>
          <w:u w:val="none"/>
        </w:rPr>
        <w:t>Docket No. RP00-336-000, et al.</w:t>
      </w:r>
    </w:p>
    <w:p>
      <w:pPr>
        <w:pStyle w:val="Normal"/>
        <w:jc w:val="center"/>
        <w:rPr>
          <w:rFonts w:ascii="Arial" w:hAnsi="Arial" w:cs="Arial"/>
          <w:sz w:val="24"/>
          <w:u w:val="none"/>
        </w:rPr>
      </w:pPr>
      <w:r>
        <w:rPr>
          <w:rFonts w:cs="Arial" w:ascii="Arial" w:hAnsi="Arial"/>
          <w:sz w:val="24"/>
          <w:u w:val="none"/>
        </w:rPr>
      </w:r>
    </w:p>
    <w:p>
      <w:pPr>
        <w:pStyle w:val="Normal"/>
        <w:jc w:val="center"/>
        <w:rPr>
          <w:rFonts w:ascii="Arial" w:hAnsi="Arial" w:cs="Arial"/>
          <w:sz w:val="24"/>
        </w:rPr>
      </w:pPr>
      <w:r>
        <w:rPr>
          <w:rFonts w:cs="Arial" w:ascii="Arial" w:hAnsi="Arial"/>
          <w:sz w:val="24"/>
        </w:rPr>
      </w:r>
    </w:p>
    <w:p>
      <w:pPr>
        <w:pStyle w:val="Normal"/>
        <w:numPr>
          <w:ilvl w:val="0"/>
          <w:numId w:val="8"/>
        </w:numPr>
        <w:tabs>
          <w:tab w:val="clear" w:pos="720"/>
          <w:tab w:val="left" w:pos="1080" w:leader="none"/>
        </w:tabs>
        <w:rPr>
          <w:rFonts w:ascii="Arial" w:hAnsi="Arial" w:cs="Arial"/>
          <w:sz w:val="24"/>
        </w:rPr>
      </w:pPr>
      <w:r>
        <w:rPr>
          <w:rFonts w:cs="Arial" w:ascii="Arial" w:hAnsi="Arial"/>
          <w:sz w:val="24"/>
          <w:u w:val="single"/>
        </w:rPr>
        <w:t>Settlement Proposal’s Guiding Principles</w:t>
      </w:r>
    </w:p>
    <w:p>
      <w:pPr>
        <w:pStyle w:val="Normal"/>
        <w:rPr>
          <w:rFonts w:ascii="Arial" w:hAnsi="Arial" w:cs="Arial"/>
          <w:sz w:val="24"/>
        </w:rPr>
      </w:pPr>
      <w:r>
        <w:rPr>
          <w:rFonts w:cs="Arial" w:ascii="Arial" w:hAnsi="Arial"/>
          <w:sz w:val="24"/>
        </w:rPr>
      </w:r>
    </w:p>
    <w:p>
      <w:pPr>
        <w:pStyle w:val="Normal"/>
        <w:numPr>
          <w:ilvl w:val="0"/>
          <w:numId w:val="2"/>
        </w:numPr>
        <w:spacing w:before="0" w:after="120"/>
        <w:rPr>
          <w:rFonts w:ascii="Arial" w:hAnsi="Arial" w:cs="Arial"/>
          <w:sz w:val="24"/>
        </w:rPr>
      </w:pPr>
      <w:r>
        <w:rPr>
          <w:rFonts w:cs="Arial" w:ascii="Arial" w:hAnsi="Arial"/>
          <w:sz w:val="24"/>
        </w:rPr>
        <w:t>This settlement proposal is intended to resolve issues pending in the following open dockets on the El Paso system:  Docket Nos. RP99-507 (Indicated Shippers' Complaint), RP00-336 (Order No. 637, allocation and pooling issues only), RP99-139 (Oneok Complaint), RP01-484 (Indicated Shippers/California Complaint), and RP01-486 (Texas, New Mexico and Arizona Shippers' Complaint).</w:t>
      </w:r>
    </w:p>
    <w:p>
      <w:pPr>
        <w:pStyle w:val="Normal"/>
        <w:numPr>
          <w:ilvl w:val="0"/>
          <w:numId w:val="2"/>
        </w:numPr>
        <w:spacing w:before="0" w:after="120"/>
        <w:rPr>
          <w:rFonts w:ascii="Arial" w:hAnsi="Arial" w:cs="Arial"/>
          <w:sz w:val="24"/>
        </w:rPr>
      </w:pPr>
      <w:r>
        <w:rPr>
          <w:rFonts w:cs="Arial" w:ascii="Arial" w:hAnsi="Arial"/>
          <w:sz w:val="24"/>
        </w:rPr>
        <w:t>The receipt point allocation methodology described below should permanently eliminate the nucleus of the problem on EPNG’s system, namely, the uncertainty of firm transportation.  Under Section 284.7(a)(4) of the Commission’s regulations, firm shippers are entitled to receive delivery of 100% of their firm entitlements every day.  At present, and until the in-service date of the All-American Pipeline system and Line 1903 (plus required compression upgrades to same) there is insufficient capacity to honor all receipt capacity entitlements set forth in this proposal.  Under this proposal, El Paso agrees to promptly bring into service, in addition to the 230 MMCF of Line 2000 capacity, approximately an additional 700 MMCF/d of mainline capacity.</w:t>
      </w:r>
    </w:p>
    <w:p>
      <w:pPr>
        <w:pStyle w:val="Normal"/>
        <w:numPr>
          <w:ilvl w:val="0"/>
          <w:numId w:val="2"/>
        </w:numPr>
        <w:spacing w:before="0" w:after="120"/>
        <w:rPr>
          <w:rFonts w:ascii="Arial" w:hAnsi="Arial" w:cs="Arial"/>
          <w:sz w:val="24"/>
        </w:rPr>
      </w:pPr>
      <w:r>
        <w:rPr>
          <w:rFonts w:cs="Arial" w:ascii="Arial" w:hAnsi="Arial"/>
          <w:sz w:val="24"/>
        </w:rPr>
        <w:t>In the interim, effective with the first gas day of the month following the approval of this Settlement, and continuing until such additional capacity is in-service, El Paso will agree to provide demand charge credits to any FT shipper that is unable to schedule its full entitlement(s) once confirmed.  These demand charge credits will be on a daily equivalent rate basis equal to the equivalent daily rate for capacity reservation paid by the affected shipper.</w:t>
      </w:r>
    </w:p>
    <w:p>
      <w:pPr>
        <w:pStyle w:val="Normal"/>
        <w:numPr>
          <w:ilvl w:val="0"/>
          <w:numId w:val="2"/>
        </w:numPr>
        <w:spacing w:before="0" w:after="120"/>
        <w:rPr>
          <w:rFonts w:ascii="Arial" w:hAnsi="Arial" w:cs="Arial"/>
          <w:sz w:val="24"/>
        </w:rPr>
      </w:pPr>
      <w:r>
        <w:rPr>
          <w:rFonts w:cs="Arial" w:ascii="Arial" w:hAnsi="Arial"/>
          <w:sz w:val="24"/>
        </w:rPr>
        <w:t xml:space="preserve">Both abrogation and modification of firm (FT) contract(s) are avoided.  To that end, (1) receipt capacity has been allocated first to those FT shippers with specific, restricted, receipt basin rights; (2) the terms and conditions of all Full Requirements (FR) TSAs remain intact; and (3) the 1996 Rate Settlement is honored.  </w:t>
      </w:r>
    </w:p>
    <w:p>
      <w:pPr>
        <w:pStyle w:val="Normal"/>
        <w:numPr>
          <w:ilvl w:val="0"/>
          <w:numId w:val="2"/>
        </w:numPr>
        <w:spacing w:before="0" w:after="120"/>
        <w:rPr>
          <w:rFonts w:ascii="Arial" w:hAnsi="Arial" w:cs="Arial"/>
          <w:sz w:val="24"/>
        </w:rPr>
      </w:pPr>
      <w:r>
        <w:rPr>
          <w:rFonts w:cs="Arial" w:ascii="Arial" w:hAnsi="Arial"/>
          <w:sz w:val="24"/>
        </w:rPr>
        <w:t>The proposed allocation methodology is neither based on the date a shipper originally entered into its service agreement with EPNG, nor is it based upon the rate that a shipper is paying for the capacity.  All FT shippers with aggregate, systemwide, receipt point rights would be on an equal footing and are allocated capacity on a pro-rata basis with the sum of all FR entitlements and contract MDQ’s, respectively, forming the denominator, and the operating capacity of the system (summer and winter, respectively) for each of the affected portions of the EPNG system forming the numerator. One salient feature of this proposal is that it eliminates the potential for nominations gaming as a means of acquiring additional capacity on a given day.</w:t>
      </w:r>
    </w:p>
    <w:p>
      <w:pPr>
        <w:pStyle w:val="Normal"/>
        <w:numPr>
          <w:ilvl w:val="0"/>
          <w:numId w:val="2"/>
        </w:numPr>
        <w:spacing w:before="0" w:after="120"/>
        <w:rPr>
          <w:rFonts w:ascii="Arial" w:hAnsi="Arial" w:cs="Arial"/>
          <w:sz w:val="24"/>
        </w:rPr>
      </w:pPr>
      <w:r>
        <w:rPr>
          <w:rFonts w:cs="Arial" w:ascii="Arial" w:hAnsi="Arial"/>
          <w:sz w:val="24"/>
        </w:rPr>
        <w:t>All numbers used for this proposal are based upon best available information through April, 2001, and would be updated upon receipt from EPNG of FR customers’ peak figures through the last season prior to additional capacity being placed into service by El Paso, as well as other then current operating capacity information.</w:t>
      </w:r>
    </w:p>
    <w:p>
      <w:pPr>
        <w:pStyle w:val="Normal"/>
        <w:spacing w:before="0" w:after="120"/>
        <w:ind w:start="720" w:end="0"/>
        <w:rPr>
          <w:rFonts w:ascii="Arial" w:hAnsi="Arial" w:eastAsia="Arial" w:cs="Arial"/>
          <w:sz w:val="24"/>
        </w:rPr>
      </w:pPr>
      <w:r>
        <w:rPr>
          <w:rFonts w:eastAsia="Arial" w:cs="Arial" w:ascii="Arial" w:hAnsi="Arial"/>
          <w:sz w:val="24"/>
        </w:rPr>
        <w:t xml:space="preserve">  </w:t>
      </w:r>
    </w:p>
    <w:p>
      <w:pPr>
        <w:pStyle w:val="Heading3"/>
        <w:numPr>
          <w:ilvl w:val="0"/>
          <w:numId w:val="8"/>
        </w:numPr>
        <w:spacing w:before="0" w:after="120"/>
        <w:ind w:hanging="0" w:start="0"/>
        <w:rPr>
          <w:rFonts w:ascii="Arial" w:hAnsi="Arial" w:cs="Arial"/>
          <w:u w:val="single"/>
        </w:rPr>
      </w:pPr>
      <w:r>
        <w:rPr>
          <w:rFonts w:cs="Arial" w:ascii="Arial" w:hAnsi="Arial"/>
          <w:u w:val="single"/>
        </w:rPr>
        <w:t>Description of CD and FR Entitlement Methodology</w:t>
      </w:r>
    </w:p>
    <w:p>
      <w:pPr>
        <w:pStyle w:val="Normal"/>
        <w:rPr>
          <w:rFonts w:ascii="Arial" w:hAnsi="Arial" w:cs="Arial"/>
          <w:u w:val="single"/>
        </w:rPr>
      </w:pPr>
      <w:r>
        <w:rPr>
          <w:rFonts w:cs="Arial" w:ascii="Arial" w:hAnsi="Arial"/>
          <w:u w:val="single"/>
        </w:rPr>
      </w:r>
    </w:p>
    <w:p>
      <w:pPr>
        <w:pStyle w:val="Normal"/>
        <w:numPr>
          <w:ilvl w:val="0"/>
          <w:numId w:val="6"/>
        </w:numPr>
        <w:spacing w:before="0" w:after="120"/>
        <w:rPr>
          <w:rFonts w:ascii="Arial" w:hAnsi="Arial" w:cs="Arial"/>
          <w:sz w:val="24"/>
        </w:rPr>
      </w:pPr>
      <w:r>
        <w:rPr>
          <w:rFonts w:cs="Arial" w:ascii="Arial" w:hAnsi="Arial"/>
          <w:sz w:val="24"/>
        </w:rPr>
        <w:t>A total "peak day entitlement" is established for each FR customer by summing its highest (peak) single day takes during the period January 1,1997 through October 31, 2001</w:t>
      </w:r>
      <w:r>
        <w:rPr>
          <w:rStyle w:val="FootnoteCharacters"/>
          <w:rStyle w:val="FootnoteReference"/>
          <w:rFonts w:cs="Arial" w:ascii="Arial" w:hAnsi="Arial"/>
          <w:sz w:val="24"/>
        </w:rPr>
        <w:footnoteReference w:id="2"/>
      </w:r>
      <w:r>
        <w:rPr>
          <w:rFonts w:cs="Arial" w:ascii="Arial" w:hAnsi="Arial"/>
          <w:sz w:val="24"/>
        </w:rPr>
        <w:t xml:space="preserve"> at each of its D-Code points (e.g. DAPSPHX, DSWGPHX, etc.)</w:t>
      </w:r>
      <w:r>
        <w:rPr>
          <w:rStyle w:val="FootnoteCharacters"/>
          <w:rStyle w:val="FootnoteReference"/>
          <w:rFonts w:cs="Arial" w:ascii="Arial" w:hAnsi="Arial"/>
          <w:sz w:val="24"/>
        </w:rPr>
        <w:footnoteReference w:id="3"/>
      </w:r>
      <w:r>
        <w:rPr>
          <w:rFonts w:cs="Arial" w:ascii="Arial" w:hAnsi="Arial"/>
          <w:sz w:val="24"/>
        </w:rPr>
        <w:t xml:space="preserve">. </w:t>
      </w:r>
    </w:p>
    <w:p>
      <w:pPr>
        <w:pStyle w:val="Normal"/>
        <w:numPr>
          <w:ilvl w:val="0"/>
          <w:numId w:val="6"/>
        </w:numPr>
        <w:spacing w:before="0" w:after="120"/>
        <w:rPr>
          <w:rFonts w:ascii="Arial" w:hAnsi="Arial" w:cs="Arial"/>
          <w:sz w:val="24"/>
        </w:rPr>
      </w:pPr>
      <w:r>
        <w:rPr>
          <w:rFonts w:cs="Arial" w:ascii="Arial" w:hAnsi="Arial"/>
          <w:sz w:val="24"/>
        </w:rPr>
        <w:t>Those FR customers who experienced their Peak day takes between November 1 of one year and March 31 of the next succeeding year are deemed to be "Winter Peakers."  Likewise, those customers whose Peak day takes occur between April 1 and October 31 of the same year are deemed to be "Summer Peakers."  In the event a FR shipper has no obvious Peak Day, such shipper will elect to be either a Summer or Winter Peaker.</w:t>
      </w:r>
    </w:p>
    <w:p>
      <w:pPr>
        <w:pStyle w:val="Normal"/>
        <w:numPr>
          <w:ilvl w:val="0"/>
          <w:numId w:val="6"/>
        </w:numPr>
        <w:spacing w:before="0" w:after="120"/>
        <w:rPr>
          <w:rFonts w:ascii="Arial" w:hAnsi="Arial" w:cs="Arial"/>
          <w:sz w:val="24"/>
        </w:rPr>
      </w:pPr>
      <w:r>
        <w:rPr>
          <w:rFonts w:cs="Arial" w:ascii="Arial" w:hAnsi="Arial"/>
          <w:sz w:val="24"/>
        </w:rPr>
        <w:t>Each FR shipper is entitled to 100% of their respective Peak Day in their Peak Season.</w:t>
      </w:r>
    </w:p>
    <w:p>
      <w:pPr>
        <w:pStyle w:val="Normal"/>
        <w:numPr>
          <w:ilvl w:val="0"/>
          <w:numId w:val="6"/>
        </w:numPr>
        <w:spacing w:before="0" w:after="120"/>
        <w:rPr>
          <w:rFonts w:ascii="Arial" w:hAnsi="Arial" w:cs="Arial"/>
          <w:sz w:val="24"/>
        </w:rPr>
      </w:pPr>
      <w:r>
        <w:rPr>
          <w:rFonts w:cs="Arial" w:ascii="Arial" w:hAnsi="Arial"/>
          <w:sz w:val="24"/>
        </w:rPr>
        <w:t>Each Summer Peaking FR shipper is entitled to 170% of their Annual Average Day in their Off Peak Season.  Each Winter Peaking FR shipper is entitled to 150% of their Annual Average Day in their Off Peak Season.  The effect of this is to recognize both the daily variability above annual average day of Winter Peaking and Summer Peaking FR shippers, respectively, and the traditional seasonality of the FR customer community’s usage by reducing their respective off-peak entitlements.</w:t>
      </w:r>
    </w:p>
    <w:p>
      <w:pPr>
        <w:pStyle w:val="Normal"/>
        <w:numPr>
          <w:ilvl w:val="0"/>
          <w:numId w:val="6"/>
        </w:numPr>
        <w:spacing w:before="0" w:after="120"/>
        <w:rPr>
          <w:rFonts w:ascii="Arial" w:hAnsi="Arial" w:cs="Arial"/>
          <w:sz w:val="24"/>
        </w:rPr>
      </w:pPr>
      <w:r>
        <w:rPr>
          <w:rFonts w:cs="Arial" w:ascii="Arial" w:hAnsi="Arial"/>
          <w:sz w:val="24"/>
        </w:rPr>
        <w:t>CD contract customers are entitled to 100% of their CD contract in all months.  There is no seasonal differentiation as to these customers, unless they so elect.</w:t>
      </w:r>
    </w:p>
    <w:p>
      <w:pPr>
        <w:pStyle w:val="Normal"/>
        <w:numPr>
          <w:ilvl w:val="0"/>
          <w:numId w:val="6"/>
        </w:numPr>
        <w:spacing w:before="0" w:after="120"/>
        <w:rPr>
          <w:rFonts w:ascii="Arial" w:hAnsi="Arial" w:cs="Arial"/>
          <w:sz w:val="24"/>
        </w:rPr>
      </w:pPr>
      <w:r>
        <w:rPr>
          <w:rFonts w:cs="Arial" w:ascii="Arial" w:hAnsi="Arial"/>
          <w:sz w:val="24"/>
        </w:rPr>
        <w:t xml:space="preserve">Any shipper upon review of their entitlement may tender back to El Paso any quantity in any season, such quantities to be tendered for the entire duration of such season and deemed a permanent release with no right of first refusal. </w:t>
      </w:r>
    </w:p>
    <w:p>
      <w:pPr>
        <w:pStyle w:val="Normal"/>
        <w:numPr>
          <w:ilvl w:val="0"/>
          <w:numId w:val="6"/>
        </w:numPr>
        <w:spacing w:before="0" w:after="120"/>
        <w:rPr>
          <w:rFonts w:ascii="Arial" w:hAnsi="Arial" w:cs="Arial"/>
          <w:sz w:val="24"/>
        </w:rPr>
      </w:pPr>
      <w:r>
        <w:rPr>
          <w:rFonts w:cs="Arial" w:ascii="Arial" w:hAnsi="Arial"/>
          <w:sz w:val="24"/>
        </w:rPr>
        <w:t>Receipt capacity would be allocated first to all firm shippers with specific receipt basin rights, and then pro-rata among the firm shippers with aggregate receipt basin rights. For example:</w:t>
      </w:r>
    </w:p>
    <w:p>
      <w:pPr>
        <w:pStyle w:val="BodyTextIndent2"/>
        <w:ind w:start="2880" w:end="0"/>
        <w:rPr/>
      </w:pPr>
      <w:r>
        <w:rPr/>
        <w:t>1.</w:t>
        <w:tab/>
        <w:t xml:space="preserve">CD Contract Customers with contracts in existence as of 5/1/2001 which have San Juan Receipts and “East End Deliveries” are allocated receipt capacity first through the San Juan Crossover. </w:t>
      </w:r>
    </w:p>
    <w:p>
      <w:pPr>
        <w:pStyle w:val="BodyTextIndent2"/>
        <w:ind w:start="2880" w:end="0"/>
        <w:rPr/>
      </w:pPr>
      <w:r>
        <w:rPr/>
        <w:t>2.</w:t>
        <w:tab/>
        <w:t>CD Contract Customers with contracts in existence as of 5/1/2001 which have Anadarko and/or Permian Receipts and “East End Deliveries” are allocated receipt capacity first out to the East End delivery points.</w:t>
      </w:r>
    </w:p>
    <w:p>
      <w:pPr>
        <w:pStyle w:val="BodyTextIndent2"/>
        <w:ind w:start="2880" w:end="0"/>
        <w:rPr/>
      </w:pPr>
      <w:r>
        <w:rPr/>
        <w:t>3.</w:t>
        <w:tab/>
        <w:t>CD Contract Customers with contracts in existence as of 5/1/2001 which have Anadarko and/or Permian Receipts and “West End Deliveries” are allocated receipt capacity first out of the Permian and Anadarko through the new Cornudas constraint location.</w:t>
      </w:r>
    </w:p>
    <w:p>
      <w:pPr>
        <w:pStyle w:val="BodyTextIndent2"/>
        <w:ind w:start="2880" w:end="0"/>
        <w:rPr/>
      </w:pPr>
      <w:r>
        <w:rPr/>
        <w:t>4.</w:t>
        <w:tab/>
        <w:t>Capacity through Cornudas remaining after such allocation is available for both CD Contracts and FR entitlements on a pro-rata basis.</w:t>
      </w:r>
    </w:p>
    <w:p>
      <w:pPr>
        <w:pStyle w:val="BodyTextIndent2"/>
        <w:ind w:start="1440" w:end="0"/>
        <w:rPr/>
      </w:pPr>
      <w:r>
        <w:rPr/>
        <w:t>H.</w:t>
        <w:tab/>
        <w:t>Firm transportation rights on EPNG’s system to delivery points to the west of Window Rock and Cornudas respectively would be fully accounted for (including FT-2 entitlements based upon the same “Peak take” methodology as that used for FT-1 FR customers).  For the purpose of those FR customers with delivery points on the San Juan Crossover line or east of Cornudas, their allocations, up to their seasonal peaks and off-peak allocations, would follow immediately after the CD contracts in existence as of 5/1/2001 (G.1, above).</w:t>
      </w:r>
    </w:p>
    <w:p>
      <w:pPr>
        <w:pStyle w:val="Normal"/>
        <w:spacing w:before="0" w:after="120"/>
        <w:ind w:start="1440" w:end="0"/>
        <w:rPr>
          <w:rFonts w:ascii="Arial" w:hAnsi="Arial" w:cs="Arial"/>
          <w:sz w:val="24"/>
        </w:rPr>
      </w:pPr>
      <w:r>
        <w:rPr>
          <w:rFonts w:cs="Arial" w:ascii="Arial" w:hAnsi="Arial"/>
          <w:sz w:val="24"/>
        </w:rPr>
        <w:t>The following calculations are based on systemwide capacity and takes through April 1, 2001:</w:t>
      </w:r>
    </w:p>
    <w:p>
      <w:pPr>
        <w:pStyle w:val="Normal"/>
        <w:numPr>
          <w:ilvl w:val="0"/>
          <w:numId w:val="4"/>
        </w:numPr>
        <w:spacing w:before="0" w:after="120"/>
        <w:rPr>
          <w:rFonts w:ascii="Arial" w:hAnsi="Arial" w:cs="Arial"/>
          <w:sz w:val="24"/>
        </w:rPr>
      </w:pPr>
      <w:r>
        <w:rPr>
          <w:rFonts w:cs="Arial" w:ascii="Arial" w:hAnsi="Arial"/>
          <w:sz w:val="24"/>
          <w:u w:val="single"/>
        </w:rPr>
        <w:t>San Juan Basin to the west</w:t>
      </w:r>
      <w:r>
        <w:rPr>
          <w:rFonts w:cs="Arial" w:ascii="Arial" w:hAnsi="Arial"/>
          <w:sz w:val="24"/>
        </w:rPr>
        <w:t xml:space="preserve"> - Utilizing the peak and off-peak entitlements ultimately defined in paragraph II. A, FR customers’ takes (assigning same to winter and summer peak and off-peak seasons, respectively), and the MDQ of CD contracts in effect as of 5/1/2001 (including those which do not have an initial service date until a later date) there is 4,393 MMDth/day of summer entitlement and 4,635 MMDth/day of winter rights to take gas from the San Juan Basin to the west.</w:t>
      </w:r>
    </w:p>
    <w:p>
      <w:pPr>
        <w:pStyle w:val="Normal"/>
        <w:numPr>
          <w:ilvl w:val="0"/>
          <w:numId w:val="4"/>
        </w:numPr>
        <w:spacing w:before="0" w:after="120"/>
        <w:rPr>
          <w:rFonts w:ascii="Arial" w:hAnsi="Arial" w:cs="Arial"/>
          <w:sz w:val="24"/>
        </w:rPr>
      </w:pPr>
      <w:r>
        <w:rPr>
          <w:rFonts w:cs="Arial" w:ascii="Arial" w:hAnsi="Arial"/>
          <w:sz w:val="24"/>
          <w:u w:val="single"/>
        </w:rPr>
        <w:t>Cornudas to the east</w:t>
      </w:r>
      <w:r>
        <w:rPr>
          <w:rFonts w:cs="Arial" w:ascii="Arial" w:hAnsi="Arial"/>
          <w:sz w:val="24"/>
        </w:rPr>
        <w:t xml:space="preserve"> - Likewise, using the paragraph II. A methodology for FR customers’ seasonally adjusted entitlements and CD customers with system-wide receipt rights, the summer entitlement is 4,393 MMDth/day and the winter quantity to 4,635 MMDth/day of rights to take gas through Cornudas to the west.  The capacity allocation for those CD customers with only receipt rights in the Anadarko and Permian comprise an additional 487 MMDth/day through Cornudas to the west, winter and summer.</w:t>
      </w:r>
    </w:p>
    <w:p>
      <w:pPr>
        <w:pStyle w:val="Normal"/>
        <w:numPr>
          <w:ilvl w:val="0"/>
          <w:numId w:val="4"/>
        </w:numPr>
        <w:spacing w:before="0" w:after="120"/>
        <w:rPr>
          <w:rFonts w:ascii="Arial" w:hAnsi="Arial" w:cs="Arial"/>
          <w:sz w:val="24"/>
        </w:rPr>
      </w:pPr>
      <w:r>
        <w:rPr>
          <w:rFonts w:cs="Arial" w:ascii="Arial" w:hAnsi="Arial"/>
          <w:sz w:val="24"/>
        </w:rPr>
        <w:t>The capacity available for allocation out of the San Juan to the west (absent correction from EPNG) after deducting a proportionate allocation for fuel</w:t>
      </w:r>
      <w:r>
        <w:rPr>
          <w:rStyle w:val="FootnoteCharacters"/>
          <w:rStyle w:val="FootnoteReference"/>
          <w:rFonts w:cs="Arial" w:ascii="Arial" w:hAnsi="Arial"/>
          <w:sz w:val="24"/>
        </w:rPr>
        <w:footnoteReference w:id="4"/>
      </w:r>
      <w:r>
        <w:rPr>
          <w:rFonts w:cs="Arial" w:ascii="Arial" w:hAnsi="Arial"/>
          <w:sz w:val="24"/>
        </w:rPr>
        <w:t xml:space="preserve"> is 2,273 MMDth/day in the summer and 2,401 MMDth/day in the winter. Likewise, the capacity out of Cornudas to the west is 1,787 MMDth/day in the summer and 1,887 MMDth/day in the winter.  Once the CD contracts with only Anadarko and Permian receipt rights are deducted from the Cornudas Capacity (as well as their associated fuel)</w:t>
      </w:r>
      <w:r>
        <w:rPr>
          <w:rStyle w:val="FootnoteCharacters"/>
          <w:rStyle w:val="FootnoteReference"/>
          <w:rFonts w:cs="Arial" w:ascii="Arial" w:hAnsi="Arial"/>
          <w:sz w:val="24"/>
        </w:rPr>
        <w:footnoteReference w:id="5"/>
      </w:r>
      <w:r>
        <w:rPr>
          <w:rFonts w:cs="Arial" w:ascii="Arial" w:hAnsi="Arial"/>
          <w:sz w:val="24"/>
        </w:rPr>
        <w:t>, there remains 1,300 MMDth/day of Summer capacity and 1,399 of winter capacity through Cornudas for the Full Requirements and CD customers with delivery points to the west and system-wide receipt rights (inclusive of their fuel through this portion of the pipeline).</w:t>
      </w:r>
    </w:p>
    <w:p>
      <w:pPr>
        <w:pStyle w:val="BodyTextIndent2"/>
        <w:ind w:start="1440" w:end="0"/>
        <w:rPr/>
      </w:pPr>
      <w:r>
        <w:rPr/>
        <w:t>I.</w:t>
        <w:tab/>
        <w:t xml:space="preserve">"Minimum Basin Entitlements" - The Window Rock to the west and Cornudas to the west constraints form the basis for minimum north and south receipt rights, respectively, for firm shippers.  Each firm shipper with deliveries to the west of Window Rock and/or Cornudas and receipt rights in these two areas (San Juan and Anadarko/ Permian, respectively) can be considered to have two primary “segments” each with firm minimum basin entitlements within their overall primary CD or FR entitlement mainline right.  Rights will exist for each shipper up to their mainline primary right from each constrained receipt point, but such rights will be considered “secondary” for quantities above the firm Minimum Basin Entitlement and up to total mainline.  </w:t>
      </w:r>
    </w:p>
    <w:p>
      <w:pPr>
        <w:pStyle w:val="BodyTextIndent2"/>
        <w:ind w:start="1440" w:end="0"/>
        <w:rPr/>
      </w:pPr>
      <w:r>
        <w:rPr/>
        <w:t>J.</w:t>
        <w:tab/>
        <w:t>All shippers with system-wide receipt rights will be provided their allocated share of the San Juan capacity to the west and the Cornudas capacity to the west.  FR shippers will be limited to their peak requirements in their peak seasons, 170% of their Annual Average Day in their Off Peak Season (for Summer Peakers), and 150% of their Annual Average Day in their Off Peak Season (for Winter Peakers).  These “segment rights” once allocated among the shippers would be separated from their “mainline rights” and could be traded among shippers.  This would mean that a shipper could release just their San Juan receipt rights and to the extent their needs for gas could be satisfied within their “minimum” Cornudas rights, they could nominate and be scheduled all their gas through the Cornudas to delivery point segment.</w:t>
      </w:r>
    </w:p>
    <w:p>
      <w:pPr>
        <w:pStyle w:val="BodyTextIndent2"/>
        <w:numPr>
          <w:ilvl w:val="0"/>
          <w:numId w:val="10"/>
        </w:numPr>
        <w:ind w:hanging="720" w:start="1440" w:end="0"/>
        <w:rPr/>
      </w:pPr>
      <w:r>
        <w:rPr>
          <w:rFonts w:eastAsia="Arial"/>
        </w:rPr>
        <w:t xml:space="preserve">      </w:t>
      </w:r>
      <w:r>
        <w:rPr/>
        <w:t xml:space="preserve">Under this formulation, there would be no occasion, other than </w:t>
      </w:r>
      <w:r>
        <w:rPr>
          <w:i/>
        </w:rPr>
        <w:t>force majeure</w:t>
      </w:r>
      <w:r>
        <w:rPr/>
        <w:t xml:space="preserve">, when all the quantities nominated by a shipper up to their firm Minimum Basin Entitlement would not be scheduled.  To the extent any firm minimum basin quantities nominated on any given day are not scheduled or transported for reasons other than </w:t>
      </w:r>
      <w:r>
        <w:rPr>
          <w:i/>
        </w:rPr>
        <w:t>force majeure</w:t>
      </w:r>
      <w:r>
        <w:rPr/>
        <w:t xml:space="preserve">, the demand charges associated with that quantity for that day would not be payable.  </w:t>
      </w:r>
    </w:p>
    <w:p>
      <w:pPr>
        <w:pStyle w:val="BodyTextIndent2"/>
        <w:ind w:hanging="0" w:start="720" w:end="0"/>
        <w:rPr/>
      </w:pPr>
      <w:r>
        <w:rPr/>
      </w:r>
    </w:p>
    <w:p>
      <w:pPr>
        <w:pStyle w:val="Heading3"/>
        <w:numPr>
          <w:ilvl w:val="0"/>
          <w:numId w:val="8"/>
        </w:numPr>
        <w:ind w:hanging="0" w:start="0"/>
        <w:rPr>
          <w:rFonts w:ascii="Arial" w:hAnsi="Arial" w:cs="Arial"/>
          <w:u w:val="single"/>
        </w:rPr>
      </w:pPr>
      <w:r>
        <w:rPr>
          <w:rFonts w:cs="Arial" w:ascii="Arial" w:hAnsi="Arial"/>
          <w:u w:val="single"/>
        </w:rPr>
        <w:t>Obligation of El Paso to Provide Additional Capacity</w:t>
      </w:r>
    </w:p>
    <w:p>
      <w:pPr>
        <w:pStyle w:val="BodyTextIndent2"/>
        <w:ind w:hanging="0" w:start="0" w:end="0"/>
        <w:rPr>
          <w:rFonts w:ascii="Arial" w:hAnsi="Arial" w:cs="Arial"/>
          <w:u w:val="single"/>
        </w:rPr>
      </w:pPr>
      <w:r>
        <w:rPr>
          <w:rFonts w:cs="Arial"/>
          <w:u w:val="single"/>
        </w:rPr>
      </w:r>
    </w:p>
    <w:p>
      <w:pPr>
        <w:pStyle w:val="BodyTextIndent2"/>
        <w:numPr>
          <w:ilvl w:val="0"/>
          <w:numId w:val="9"/>
        </w:numPr>
        <w:ind w:hanging="720" w:start="1440" w:end="0"/>
        <w:rPr/>
      </w:pPr>
      <w:r>
        <w:rPr/>
        <w:t>El Paso should solicit all Shippers and offer them the opportunity to turn back capacity on a seasonal or year-round basis; such turn back capacity to be utilized in meeting firm requirements prior to El Paso bringing additional capacity on line under III.B, below.</w:t>
      </w:r>
    </w:p>
    <w:p>
      <w:pPr>
        <w:pStyle w:val="BodyTextIndent2"/>
        <w:numPr>
          <w:ilvl w:val="0"/>
          <w:numId w:val="9"/>
        </w:numPr>
        <w:ind w:hanging="720" w:start="1440" w:end="0"/>
        <w:rPr/>
      </w:pPr>
      <w:r>
        <w:rPr/>
        <w:t>As set forth in I.A, above, EPNG agrees expeditiously to construct or bring into service additional capacity to fulfill its existing contractual obligations (as set forth herein) with certainty each day.  El Paso should follow a least cost method of placing the additional capacity into service.  Such least cost method is defined as follows:</w:t>
      </w:r>
    </w:p>
    <w:p>
      <w:pPr>
        <w:pStyle w:val="Normal"/>
        <w:spacing w:before="0" w:after="120"/>
        <w:ind w:start="1800" w:end="0"/>
        <w:rPr>
          <w:rFonts w:ascii="Arial" w:hAnsi="Arial" w:cs="Arial"/>
          <w:sz w:val="24"/>
        </w:rPr>
      </w:pPr>
      <w:r>
        <w:rPr>
          <w:rFonts w:cs="Arial" w:ascii="Arial" w:hAnsi="Arial"/>
          <w:sz w:val="24"/>
        </w:rPr>
        <w:t xml:space="preserve">The combination of dollars measured over a ten year period comprised of: New Capital Investment (excluding capital invested in purchasing the All-American Pipeline) depreciated straight line over a 20 year period and yielding a return on capital of 13% per annum, plus operating costs (excluding fuel retention).  It is the intention that through this least cost method, the proper balance of new pipe and new compression will be identified.  </w:t>
      </w:r>
    </w:p>
    <w:p>
      <w:pPr>
        <w:pStyle w:val="Normal"/>
        <w:numPr>
          <w:ilvl w:val="0"/>
          <w:numId w:val="9"/>
        </w:numPr>
        <w:spacing w:before="0" w:after="120"/>
        <w:ind w:hanging="720" w:start="1440" w:end="0"/>
        <w:rPr>
          <w:rFonts w:ascii="Arial" w:hAnsi="Arial" w:cs="Arial"/>
          <w:sz w:val="24"/>
        </w:rPr>
      </w:pPr>
      <w:r>
        <w:rPr>
          <w:rFonts w:cs="Arial" w:ascii="Arial" w:hAnsi="Arial"/>
          <w:sz w:val="24"/>
        </w:rPr>
        <w:t>Following approval of this settlement, El Paso agrees to place into effect a commodity rate for receipts at Daggett and deliveries to California/Nevada, Arizona, New Mexico and Texas, respectively, which are the mirror of the commodity rates for receipts in Texas and deliveries respectively in Texas, New Mexico, Arizona, and California/Nevada.</w:t>
      </w:r>
    </w:p>
    <w:p>
      <w:pPr>
        <w:pStyle w:val="Heading3"/>
        <w:numPr>
          <w:ilvl w:val="0"/>
          <w:numId w:val="11"/>
        </w:numPr>
        <w:spacing w:lineRule="auto" w:line="360"/>
        <w:ind w:hanging="0" w:start="0"/>
        <w:rPr>
          <w:rFonts w:ascii="Arial" w:hAnsi="Arial" w:cs="Arial"/>
          <w:u w:val="single"/>
        </w:rPr>
      </w:pPr>
      <w:r>
        <w:rPr>
          <w:rFonts w:cs="Arial" w:ascii="Arial" w:hAnsi="Arial"/>
          <w:u w:val="single"/>
        </w:rPr>
        <w:t>Establishment of Interim Minimum Basin Entitlements</w:t>
      </w:r>
    </w:p>
    <w:p>
      <w:pPr>
        <w:pStyle w:val="BodyTextIndent2"/>
        <w:ind w:start="1440" w:end="0"/>
        <w:rPr/>
      </w:pPr>
      <w:r>
        <w:rPr/>
        <w:t>A.</w:t>
        <w:tab/>
      </w:r>
      <w:r>
        <w:rPr>
          <w:u w:val="single"/>
        </w:rPr>
        <w:t>Westward Shippers</w:t>
      </w:r>
      <w:r>
        <w:rPr/>
        <w:t xml:space="preserve"> - Until El Paso has placed into service sufficient capacity to honor 100% of the firm entitlements in each season of every year, there will be an "Interim Minimum Basin Entitlement" for each Westward Shipper with respect to each basin.  Each Westward Shipper’s Interim Minimum Basin Entitlement will be calculated by dividing the total of all Westward Shippers’ Entitlements with respect to each basin into the Total Mainline Westward Take-Away Capacity of each Basin.  The points of calculation of such westward take-away capacity will be Window Rock on the northern mainline for all Westward Shippers with San Juan receipt rights, and Cornudas on the southern mainline for those Westward Shippers with Anadarko and Permian receipt rights.  Prior to the calculation of the Westward Shippers’ receipt rights through Cornudas, all Westward Shippers with only Permian and/or Anadarko receipt rights will be allocated 100% of their CD through such location.  In each case, the capacity available for allocation at Window Rock and Cornudas will be that capacity remaining after reductions equal to 4% of the capacity for use as downstream compressor fuel. </w:t>
      </w:r>
    </w:p>
    <w:p>
      <w:pPr>
        <w:pStyle w:val="BodyTextIndent2"/>
        <w:ind w:start="1440" w:end="0"/>
        <w:rPr/>
      </w:pPr>
      <w:r>
        <w:rPr/>
        <w:t>B.</w:t>
        <w:tab/>
      </w:r>
      <w:r>
        <w:rPr>
          <w:u w:val="single"/>
        </w:rPr>
        <w:t>Eastward Shippers</w:t>
      </w:r>
      <w:r>
        <w:rPr/>
        <w:t xml:space="preserve"> - Until El Paso has placed into service sufficient capacity to honor 100% of the firm entitlements in each season of every year, there will be an "Interim Minimum Basin Entitlement" for each Eastward Shipper to each basin.  Each Eastward Shipper’s Interim Minimum Basin Entitlement will be calculated by first dividing the total of all Eastward Shippers’ Entitlements to the San Juan Basin into the Total Mainline Eastward Take-Away Capacity of the San Juan Basin.  The point of calculation of such eastward take-away capacity will be the Bluewater Compressor Station for those Eastward Shippers with San Juan receipt rights taking delivery east of Window Rock and west of Plains.  </w:t>
      </w:r>
    </w:p>
    <w:p>
      <w:pPr>
        <w:pStyle w:val="BodyTextIndent2"/>
        <w:ind w:hanging="0" w:start="1440" w:end="0"/>
        <w:rPr/>
      </w:pPr>
      <w:r>
        <w:rPr/>
        <w:t xml:space="preserve">For those Eastward Shippers with San Juan receipt rights taking delivery east or south of Plains and east of Cornudas, the point of calculation of such eastward take-away capacity will be Plains.  For those Eastward Shippers with Permian or Anadarko receipt rights taking delivery east of Window Rock and East of Cornudas, the calculation of their Interim Minimum Basin Entitlement to Anadarko and Permian will be at their election and will be, in sum, no greater than their Total Entitlement less their San Juan Minimum Basin Entitlement.  </w:t>
      </w:r>
    </w:p>
    <w:p>
      <w:pPr>
        <w:pStyle w:val="Normal"/>
        <w:spacing w:before="0" w:after="120"/>
        <w:ind w:hanging="720" w:start="1440" w:end="0"/>
        <w:rPr/>
      </w:pPr>
      <w:r>
        <w:rPr>
          <w:rFonts w:cs="Arial" w:ascii="Arial" w:hAnsi="Arial"/>
          <w:sz w:val="24"/>
        </w:rPr>
        <w:t>C</w:t>
      </w:r>
      <w:r>
        <w:rPr/>
        <w:t>.</w:t>
        <w:tab/>
      </w:r>
      <w:r>
        <w:rPr>
          <w:rFonts w:cs="Arial" w:ascii="Arial" w:hAnsi="Arial"/>
          <w:sz w:val="24"/>
        </w:rPr>
        <w:t>As El Paso places into service each increment of capacity, a new Interim Minimum Basin Entitlement(s) for each shipper will be calculated for each basin in the same manner as that used for the initial Interim Minimum Basin Entitlement(s).  Such updated Interim Minimum Basin Entitlement(s) are to be effective with the first gas day of the next succeeding month after each increment of capacity is placed in service.  In the event El Paso places into service additional Eastward capacity out of the San Juan Basin, then Eastward Shippers shall receive a greater Interim Minimum Basin Entitlement provided they reduce one or the other or both of their Minimum Basin Entitlements to the Anadarko and/or Permian Basins commensurately.</w:t>
      </w:r>
    </w:p>
    <w:p>
      <w:pPr>
        <w:pStyle w:val="Heading3"/>
        <w:numPr>
          <w:ilvl w:val="0"/>
          <w:numId w:val="8"/>
        </w:numPr>
        <w:ind w:hanging="0" w:start="0"/>
        <w:rPr>
          <w:rFonts w:ascii="Arial" w:hAnsi="Arial" w:cs="Arial"/>
          <w:u w:val="single"/>
        </w:rPr>
      </w:pPr>
      <w:r>
        <w:rPr>
          <w:rFonts w:cs="Arial" w:ascii="Arial" w:hAnsi="Arial"/>
          <w:u w:val="single"/>
        </w:rPr>
        <w:t>Segmentation</w:t>
      </w:r>
    </w:p>
    <w:p>
      <w:pPr>
        <w:pStyle w:val="Normal"/>
        <w:rPr>
          <w:rFonts w:ascii="Arial" w:hAnsi="Arial" w:cs="Arial"/>
          <w:u w:val="single"/>
        </w:rPr>
      </w:pPr>
      <w:r>
        <w:rPr>
          <w:rFonts w:cs="Arial" w:ascii="Arial" w:hAnsi="Arial"/>
          <w:u w:val="single"/>
        </w:rPr>
      </w:r>
    </w:p>
    <w:p>
      <w:pPr>
        <w:pStyle w:val="BodyTextIndent2"/>
        <w:numPr>
          <w:ilvl w:val="0"/>
          <w:numId w:val="5"/>
        </w:numPr>
        <w:rPr/>
      </w:pPr>
      <w:r>
        <w:rPr/>
        <w:t>Each Shipper would be deemed to have three (four assuming addition of the Daggett to Ehrenberg segment creates another Basin) primary “segments” each with firm Minimum Basin Entitlements within their overall primary entitlement mainline right.  Rights would exist for each shipper up to their mainline primary right from each constrained receipt point, but such rights would be considered “secondary” for quantities above the firm Minimum Basin Entitlement and up to total mainline.</w:t>
      </w:r>
    </w:p>
    <w:p>
      <w:pPr>
        <w:pStyle w:val="Heading5"/>
        <w:numPr>
          <w:ilvl w:val="0"/>
          <w:numId w:val="5"/>
        </w:numPr>
        <w:rPr/>
      </w:pPr>
      <w:r>
        <w:rPr/>
        <w:t>Shippers could release portions of their entitlements to each such segment up to their Minimum Basin Entitlement for each such segment.  A primary path between the Receipt Basin and the released delivery point would exist to any delivery point lying between the subject Basin and the released Delivery point to a maximum of available delivery point (in the path) and associated lateral capacity.  Out of path deliveries (i.e., downstream of the Primary Delivery Point) would be on an alternate basis.  Receipts on the segment would at all times be on an alternate basis and based upon Total Entitlements.</w:t>
      </w:r>
      <w:r>
        <w:br w:type="page"/>
      </w:r>
    </w:p>
    <w:p>
      <w:pPr>
        <w:pStyle w:val="Heading5"/>
        <w:numPr>
          <w:ilvl w:val="0"/>
          <w:numId w:val="0"/>
        </w:numPr>
        <w:ind w:hanging="0" w:start="720" w:end="0"/>
        <w:rPr/>
      </w:pPr>
      <w:r>
        <w:rPr/>
      </w:r>
    </w:p>
    <w:p>
      <w:pPr>
        <w:pStyle w:val="Heading3"/>
        <w:numPr>
          <w:ilvl w:val="0"/>
          <w:numId w:val="8"/>
        </w:numPr>
        <w:ind w:hanging="0" w:start="0"/>
        <w:rPr>
          <w:rFonts w:ascii="Arial" w:hAnsi="Arial" w:cs="Arial"/>
          <w:u w:val="single"/>
        </w:rPr>
      </w:pPr>
      <w:r>
        <w:rPr>
          <w:rFonts w:cs="Arial" w:ascii="Arial" w:hAnsi="Arial"/>
          <w:u w:val="single"/>
        </w:rPr>
        <w:t>Scheduling Procedures</w:t>
      </w:r>
    </w:p>
    <w:p>
      <w:pPr>
        <w:pStyle w:val="Normal"/>
        <w:ind w:start="720" w:end="0"/>
        <w:rPr>
          <w:rFonts w:ascii="Arial" w:hAnsi="Arial" w:cs="Arial"/>
          <w:sz w:val="24"/>
          <w:u w:val="single"/>
        </w:rPr>
      </w:pPr>
      <w:r>
        <w:rPr>
          <w:rFonts w:cs="Arial" w:ascii="Arial" w:hAnsi="Arial"/>
          <w:sz w:val="24"/>
          <w:u w:val="single"/>
        </w:rPr>
      </w:r>
    </w:p>
    <w:p>
      <w:pPr>
        <w:pStyle w:val="Heading5"/>
        <w:numPr>
          <w:ilvl w:val="0"/>
          <w:numId w:val="3"/>
        </w:numPr>
        <w:rPr/>
      </w:pPr>
      <w:r>
        <w:rPr/>
        <w:t>The scheduling procedures needed to implement this receipt capacity allocation mechanism are fairly straightforward.  First of all, the “pro-rata” access to all receipt points, i.e., access through constraint locations, is retained with respect to access to receipt basins in excess of firm Minimum Basin Entitlements.  What is enhanced is the certainty that shippers would have with respect to their firm Minimum Basin Entitlements through the constraint points. This proposal also sets both the numerator(s) and denominator(s) for the allocation of nominations above (in excess of) the minimums.</w:t>
      </w:r>
    </w:p>
    <w:p>
      <w:pPr>
        <w:pStyle w:val="Heading5"/>
        <w:numPr>
          <w:ilvl w:val="0"/>
          <w:numId w:val="0"/>
        </w:numPr>
        <w:ind w:hanging="720" w:start="1440" w:end="0"/>
        <w:rPr/>
      </w:pPr>
      <w:r>
        <w:rPr>
          <w:rFonts w:cs="Arial"/>
        </w:rPr>
        <w:t>B.</w:t>
        <w:tab/>
      </w:r>
      <w:r>
        <w:rPr/>
        <w:t>Shippers who nominated quantities through constraint locations within their firm Minimum Basin Entitlements would be scheduled their nominated quantities (subject to supplier confirmations of course).  Those shippers who identified secondary receipts (above their minimums and up to their total FR or CD entitlements) would all be treated equally and allocated a proportionate share of any capacity above that scheduled for shippers requesting their minimums (or less).  The fraction for these secondary shipments would be derived as follows:</w:t>
      </w:r>
    </w:p>
    <w:p>
      <w:pPr>
        <w:pStyle w:val="BodyTextIndent"/>
        <w:spacing w:before="0" w:after="120"/>
        <w:ind w:hanging="360" w:start="2520" w:end="0"/>
        <w:rPr>
          <w:sz w:val="24"/>
        </w:rPr>
      </w:pPr>
      <w:r>
        <w:rPr>
          <w:sz w:val="24"/>
        </w:rPr>
        <w:t>1.</w:t>
        <w:tab/>
        <w:t xml:space="preserve">The denominator would be the entitlements that shippers nominating these excess quantities have, and the numerator would be the remaining capacity available through the constraint point.  The resulting fraction would be the fraction applied to the available capacity to accord each shipper its fair share.  </w:t>
      </w:r>
    </w:p>
    <w:p>
      <w:pPr>
        <w:pStyle w:val="BodyTextIndent"/>
        <w:spacing w:before="0" w:after="120"/>
        <w:ind w:hanging="360" w:start="2520" w:end="0"/>
        <w:rPr/>
      </w:pPr>
      <w:r>
        <w:rPr/>
        <w:t>2.</w:t>
        <w:tab/>
      </w:r>
      <w:r>
        <w:rPr>
          <w:sz w:val="24"/>
        </w:rPr>
        <w:t>In this manner, each shipper would get the lesser of their nominated quantity or their secondary day-to-day entitlement to available capacity.  This preserves pro rata system-wide access and makes such access immune to potential nominations gaming.</w:t>
      </w:r>
    </w:p>
    <w:p>
      <w:pPr>
        <w:pStyle w:val="Normal"/>
        <w:rPr>
          <w:rFonts w:ascii="Arial" w:hAnsi="Arial" w:cs="Arial"/>
          <w:sz w:val="24"/>
        </w:rPr>
      </w:pPr>
      <w:r>
        <w:rPr>
          <w:rFonts w:cs="Arial" w:ascii="Arial" w:hAnsi="Arial"/>
          <w:sz w:val="24"/>
        </w:rPr>
        <w:t>VII.</w:t>
        <w:tab/>
      </w:r>
      <w:r>
        <w:rPr>
          <w:rFonts w:cs="Arial" w:ascii="Arial" w:hAnsi="Arial"/>
          <w:sz w:val="24"/>
          <w:u w:val="single"/>
        </w:rPr>
        <w:t>Cost Reallocation Resulting From Settlement Implementation</w:t>
      </w:r>
    </w:p>
    <w:p>
      <w:pPr>
        <w:pStyle w:val="Normal"/>
        <w:ind w:start="720" w:end="0"/>
        <w:rPr>
          <w:rFonts w:ascii="Arial" w:hAnsi="Arial" w:cs="Arial"/>
          <w:sz w:val="24"/>
        </w:rPr>
      </w:pPr>
      <w:r>
        <w:rPr>
          <w:rFonts w:cs="Arial" w:ascii="Arial" w:hAnsi="Arial"/>
          <w:sz w:val="24"/>
        </w:rPr>
      </w:r>
    </w:p>
    <w:p>
      <w:pPr>
        <w:pStyle w:val="Normal"/>
        <w:numPr>
          <w:ilvl w:val="1"/>
          <w:numId w:val="3"/>
        </w:numPr>
        <w:ind w:hanging="1080" w:start="1800" w:end="0"/>
        <w:rPr>
          <w:rFonts w:ascii="Arial" w:hAnsi="Arial" w:cs="Arial"/>
          <w:sz w:val="24"/>
        </w:rPr>
      </w:pPr>
      <w:r>
        <w:rPr>
          <w:rFonts w:cs="Arial" w:ascii="Arial" w:hAnsi="Arial"/>
          <w:sz w:val="24"/>
        </w:rPr>
        <w:t>The Cost of Service adopted in the 10-year settlement remains in place through the 10-year settlement term (12/31/05)</w:t>
      </w:r>
    </w:p>
    <w:p>
      <w:pPr>
        <w:pStyle w:val="Normal"/>
        <w:ind w:start="720" w:end="0"/>
        <w:rPr>
          <w:rFonts w:ascii="Arial" w:hAnsi="Arial" w:cs="Arial"/>
          <w:sz w:val="24"/>
        </w:rPr>
      </w:pPr>
      <w:r>
        <w:rPr>
          <w:rFonts w:cs="Arial" w:ascii="Arial" w:hAnsi="Arial"/>
          <w:sz w:val="24"/>
        </w:rPr>
      </w:r>
    </w:p>
    <w:p>
      <w:pPr>
        <w:pStyle w:val="Normal"/>
        <w:numPr>
          <w:ilvl w:val="1"/>
          <w:numId w:val="3"/>
        </w:numPr>
        <w:ind w:hanging="1080" w:start="1800" w:end="0"/>
        <w:rPr>
          <w:rFonts w:ascii="Arial" w:hAnsi="Arial" w:cs="Arial"/>
          <w:sz w:val="24"/>
        </w:rPr>
      </w:pPr>
      <w:r>
        <w:rPr>
          <w:rFonts w:cs="Arial" w:ascii="Arial" w:hAnsi="Arial"/>
          <w:sz w:val="24"/>
        </w:rPr>
        <w:t>El Paso is revenue neutral, except for revenues associated with Cost of Service tied to the capacity additions; those costs will be rolled-in and recovered in the next El Paso rate case.</w:t>
      </w:r>
    </w:p>
    <w:p>
      <w:pPr>
        <w:pStyle w:val="Normal"/>
        <w:rPr>
          <w:rFonts w:ascii="Arial" w:hAnsi="Arial" w:cs="Arial"/>
          <w:sz w:val="24"/>
        </w:rPr>
      </w:pPr>
      <w:r>
        <w:rPr>
          <w:rFonts w:cs="Arial" w:ascii="Arial" w:hAnsi="Arial"/>
          <w:sz w:val="24"/>
        </w:rPr>
      </w:r>
    </w:p>
    <w:p>
      <w:pPr>
        <w:pStyle w:val="Normal"/>
        <w:numPr>
          <w:ilvl w:val="1"/>
          <w:numId w:val="3"/>
        </w:numPr>
        <w:ind w:hanging="1080" w:start="1800" w:end="0"/>
        <w:rPr>
          <w:rFonts w:ascii="Arial" w:hAnsi="Arial" w:cs="Arial"/>
          <w:sz w:val="24"/>
        </w:rPr>
      </w:pPr>
      <w:r>
        <w:rPr>
          <w:rFonts w:cs="Arial" w:ascii="Arial" w:hAnsi="Arial"/>
          <w:sz w:val="24"/>
        </w:rPr>
        <w:t>Cost responsibility moves with the changes in Entitlements.</w:t>
      </w:r>
    </w:p>
    <w:p>
      <w:pPr>
        <w:pStyle w:val="Normal"/>
        <w:ind w:start="720" w:end="0"/>
        <w:rPr>
          <w:rFonts w:ascii="Arial" w:hAnsi="Arial" w:cs="Arial"/>
          <w:sz w:val="24"/>
        </w:rPr>
      </w:pPr>
      <w:r>
        <w:rPr>
          <w:rFonts w:cs="Arial" w:ascii="Arial" w:hAnsi="Arial"/>
          <w:sz w:val="24"/>
        </w:rPr>
      </w:r>
    </w:p>
    <w:p>
      <w:pPr>
        <w:pStyle w:val="BodyTextIndent"/>
        <w:numPr>
          <w:ilvl w:val="1"/>
          <w:numId w:val="5"/>
        </w:numPr>
        <w:spacing w:before="0" w:after="120"/>
        <w:rPr>
          <w:rFonts w:cs="Arial"/>
          <w:sz w:val="24"/>
        </w:rPr>
      </w:pPr>
      <w:r>
        <w:rPr>
          <w:rFonts w:cs="Arial"/>
          <w:sz w:val="24"/>
        </w:rPr>
        <w:t>New system average rate calculated based upon increased Entitlements (sum of annual entitlements divided into cost of service recovered through demand charges)</w:t>
      </w:r>
    </w:p>
    <w:p>
      <w:pPr>
        <w:pStyle w:val="BodyTextIndent"/>
        <w:numPr>
          <w:ilvl w:val="1"/>
          <w:numId w:val="5"/>
        </w:numPr>
        <w:spacing w:before="0" w:after="120"/>
        <w:rPr>
          <w:sz w:val="24"/>
        </w:rPr>
      </w:pPr>
      <w:r>
        <w:rPr>
          <w:sz w:val="24"/>
        </w:rPr>
        <w:t>New zonal rates maintain their proportional differences</w:t>
      </w:r>
    </w:p>
    <w:p>
      <w:pPr>
        <w:pStyle w:val="BodyTextIndent"/>
        <w:numPr>
          <w:ilvl w:val="1"/>
          <w:numId w:val="5"/>
        </w:numPr>
        <w:spacing w:before="0" w:after="120"/>
        <w:rPr>
          <w:sz w:val="24"/>
        </w:rPr>
      </w:pPr>
      <w:r>
        <w:rPr>
          <w:sz w:val="24"/>
        </w:rPr>
        <w:t>The new system average rate would include only those entitlements of California CD shippers which agreed to take a portion of their Minimum Basin Entitlements from Daggett.  In the event a shipper declines to take a portion of their Minimum Basin Entitlements from Daggett, their entitlements are not included in the new quantity of entitlements for the purpose of calculating a new system average rate.  Rather, their current entitlement times their current rate would be used to reduce the cost of service (collected through reservation charges) prior to the determination of a new system average rate for the purpose of cost reallocation.</w:t>
      </w:r>
    </w:p>
    <w:p>
      <w:pPr>
        <w:pStyle w:val="Normal"/>
        <w:numPr>
          <w:ilvl w:val="1"/>
          <w:numId w:val="3"/>
        </w:numPr>
        <w:ind w:hanging="1080" w:start="1800" w:end="0"/>
        <w:rPr>
          <w:rFonts w:ascii="Arial" w:hAnsi="Arial" w:cs="Arial"/>
          <w:sz w:val="24"/>
        </w:rPr>
      </w:pPr>
      <w:r>
        <w:rPr>
          <w:rFonts w:cs="Arial" w:ascii="Arial" w:hAnsi="Arial"/>
          <w:sz w:val="24"/>
        </w:rPr>
        <w:t>No proposed changes to the Revenue Crediting provisions of the 10-year settlement</w:t>
      </w:r>
    </w:p>
    <w:p>
      <w:pPr>
        <w:pStyle w:val="Normal"/>
        <w:ind w:start="720" w:end="0"/>
        <w:rPr>
          <w:rFonts w:ascii="Arial" w:hAnsi="Arial" w:cs="Arial"/>
          <w:sz w:val="24"/>
        </w:rPr>
      </w:pPr>
      <w:r>
        <w:rPr>
          <w:rFonts w:cs="Arial" w:ascii="Arial" w:hAnsi="Arial"/>
          <w:sz w:val="24"/>
        </w:rPr>
      </w:r>
    </w:p>
    <w:p>
      <w:pPr>
        <w:pStyle w:val="Heading3"/>
        <w:numPr>
          <w:ilvl w:val="0"/>
          <w:numId w:val="0"/>
        </w:numPr>
        <w:ind w:hanging="0" w:start="0"/>
        <w:rPr/>
      </w:pPr>
      <w:r>
        <w:rPr>
          <w:rFonts w:cs="Arial" w:ascii="Arial" w:hAnsi="Arial"/>
        </w:rPr>
        <w:t>VIII.</w:t>
        <w:tab/>
      </w:r>
      <w:r>
        <w:rPr>
          <w:rFonts w:cs="Arial" w:ascii="Arial" w:hAnsi="Arial"/>
          <w:u w:val="single"/>
        </w:rPr>
        <w:t>Resolution of Pooling Issue</w:t>
      </w:r>
    </w:p>
    <w:p>
      <w:pPr>
        <w:pStyle w:val="Normal"/>
        <w:ind w:start="7920" w:end="0"/>
        <w:rPr>
          <w:rFonts w:ascii="Arial" w:hAnsi="Arial" w:cs="Arial"/>
          <w:sz w:val="24"/>
          <w:u w:val="single"/>
        </w:rPr>
      </w:pPr>
      <w:r>
        <w:rPr>
          <w:rFonts w:cs="Arial" w:ascii="Arial" w:hAnsi="Arial"/>
          <w:sz w:val="24"/>
          <w:u w:val="single"/>
        </w:rPr>
      </w:r>
    </w:p>
    <w:p>
      <w:pPr>
        <w:pStyle w:val="Heading5"/>
        <w:numPr>
          <w:ilvl w:val="0"/>
          <w:numId w:val="0"/>
        </w:numPr>
        <w:ind w:firstLine="720" w:start="720" w:end="0"/>
        <w:rPr/>
      </w:pPr>
      <w:r>
        <w:rPr/>
        <w:t>While the system is not pathed per se, the pooling points proposed by El Paso are pathed for the purpose of aggregating gas for receipt onto TSAs of Westward Shippers.  The intent is that the pooling points are linearly associated and summed to the two new Westward Shipping Pooling Points at Window Rock and Cornudas respectively.  Poolers serving Westward Shippers on the El Paso system are assigned pools which are linked to the next succeeding pool with the terminus of all such links at the two main pools.  Pooler’s receipts into a pool are automatically placed into the next succeeding pool in the absence of a nomination to another pooler or shipper taking gas from the pooler onto a TSA.</w:t>
      </w:r>
    </w:p>
    <w:p>
      <w:pPr>
        <w:pStyle w:val="Normal"/>
        <w:ind w:firstLine="720" w:start="720" w:end="0"/>
        <w:rPr/>
      </w:pPr>
      <w:r>
        <w:rPr>
          <w:rFonts w:cs="Arial" w:ascii="Arial" w:hAnsi="Arial"/>
          <w:sz w:val="24"/>
        </w:rPr>
        <w:t>For Eastward Shippers there are the same two pooling points except that they are segregated into Eastward Pooling Points.  These pooling points as proposed by El Paso are pathed for the purpose of aggregating gas for receipt onto TSAs of Eastward Shippers.  The intent is that the pooling points are linearly associated and summed to the two new Eastward Shipping Pooling Points at Window Rock and Cornudas, respectively.  Poolers serving Eastward Shippers on the El Paso system are assigned pools which are linked to the next succeeding pool with the terminus of all such links at the two main pools.  A Pooler’s receipts into a pool are automatically placed into the next succeeding pool in the absence of a nomination to another pooler or shipper taking gas from the pooler onto an Eastward Shipper’s TSA</w:t>
      </w:r>
      <w:r>
        <w:rPr/>
        <w:t>.</w:t>
      </w:r>
      <w:r>
        <w:br w:type="page"/>
      </w:r>
    </w:p>
    <w:p>
      <w:pPr>
        <w:pStyle w:val="Normal"/>
        <w:rPr/>
      </w:pPr>
      <w:r>
        <w:rPr/>
      </w:r>
    </w:p>
    <w:p>
      <w:pPr>
        <w:pStyle w:val="Heading3"/>
        <w:numPr>
          <w:ilvl w:val="0"/>
          <w:numId w:val="0"/>
        </w:numPr>
        <w:ind w:hanging="0" w:start="0"/>
        <w:rPr/>
      </w:pPr>
      <w:r>
        <w:rPr>
          <w:rFonts w:cs="Arial" w:ascii="Arial" w:hAnsi="Arial"/>
        </w:rPr>
        <w:t>IX.</w:t>
        <w:tab/>
      </w:r>
      <w:r>
        <w:rPr>
          <w:rFonts w:cs="Arial" w:ascii="Arial" w:hAnsi="Arial"/>
          <w:u w:val="single"/>
        </w:rPr>
        <w:t>Communications</w:t>
      </w:r>
    </w:p>
    <w:p>
      <w:pPr>
        <w:pStyle w:val="Normal"/>
        <w:rPr>
          <w:rFonts w:ascii="Arial" w:hAnsi="Arial" w:cs="Arial"/>
          <w:sz w:val="24"/>
          <w:u w:val="single"/>
        </w:rPr>
      </w:pPr>
      <w:r>
        <w:rPr>
          <w:rFonts w:cs="Arial" w:ascii="Arial" w:hAnsi="Arial"/>
          <w:sz w:val="24"/>
          <w:u w:val="single"/>
        </w:rPr>
      </w:r>
    </w:p>
    <w:p>
      <w:pPr>
        <w:pStyle w:val="Normal"/>
        <w:ind w:firstLine="720" w:end="0"/>
        <w:rPr>
          <w:rFonts w:ascii="Arial" w:hAnsi="Arial" w:cs="Arial"/>
          <w:sz w:val="24"/>
        </w:rPr>
      </w:pPr>
      <w:r>
        <w:rPr>
          <w:rFonts w:cs="Arial" w:ascii="Arial" w:hAnsi="Arial"/>
          <w:sz w:val="24"/>
        </w:rPr>
        <w:t>All correspondence, data requests or other communications regarding this proposal should be addressed to:</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Diane McVicker</w:t>
      </w:r>
    </w:p>
    <w:p>
      <w:pPr>
        <w:pStyle w:val="Normal"/>
        <w:rPr>
          <w:rFonts w:ascii="Arial" w:hAnsi="Arial" w:cs="Arial"/>
          <w:sz w:val="24"/>
        </w:rPr>
      </w:pPr>
      <w:r>
        <w:rPr>
          <w:rFonts w:cs="Arial" w:ascii="Arial" w:hAnsi="Arial"/>
          <w:sz w:val="24"/>
        </w:rPr>
        <w:t>dbmcvick@srpnet.com</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Greg Lander</w:t>
      </w:r>
    </w:p>
    <w:p>
      <w:pPr>
        <w:pStyle w:val="Normal"/>
        <w:rPr>
          <w:rFonts w:ascii="Arial" w:hAnsi="Arial" w:cs="Arial"/>
          <w:sz w:val="24"/>
        </w:rPr>
      </w:pPr>
      <w:r>
        <w:rPr>
          <w:rFonts w:cs="Arial" w:ascii="Arial" w:hAnsi="Arial"/>
          <w:sz w:val="24"/>
        </w:rPr>
        <w:t>glander@skippingstone.com</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Joel Greene</w:t>
      </w:r>
    </w:p>
    <w:p>
      <w:pPr>
        <w:pStyle w:val="Normal"/>
        <w:rPr>
          <w:rFonts w:ascii="Arial" w:hAnsi="Arial" w:cs="Arial"/>
          <w:sz w:val="24"/>
        </w:rPr>
      </w:pPr>
      <w:r>
        <w:rPr>
          <w:rFonts w:cs="Arial" w:ascii="Arial" w:hAnsi="Arial"/>
          <w:sz w:val="24"/>
        </w:rPr>
        <w:t>Jlgreene@energyadvocates.com</w:t>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rPr>
        <w:t xml:space="preserve">  </w:t>
      </w:r>
      <w:r>
        <w:rPr>
          <w:rFonts w:cs="Arial" w:ascii="Arial" w:hAnsi="Arial"/>
        </w:rPr>
        <w:t>Subject to validation upon receipt of applicable data from EPNG. All numbers used for this analysis are numbers from Calendar years 1997, 1998, 1999 and 2000.</w:t>
      </w:r>
    </w:p>
    <w:p>
      <w:pPr>
        <w:pStyle w:val="FootnoteText"/>
        <w:rPr>
          <w:rFonts w:ascii="Arial" w:hAnsi="Arial" w:cs="Arial"/>
        </w:rPr>
      </w:pPr>
      <w:r>
        <w:rPr>
          <w:rFonts w:cs="Arial" w:ascii="Arial" w:hAnsi="Arial"/>
        </w:rPr>
      </w:r>
    </w:p>
  </w:footnote>
  <w:footnote w:id="3">
    <w:p>
      <w:pPr>
        <w:pStyle w:val="FootnoteText"/>
        <w:rPr/>
      </w:pPr>
      <w:r>
        <w:rPr>
          <w:rStyle w:val="FootnoteCharacters"/>
        </w:rPr>
        <w:footnoteRef/>
      </w:r>
      <w:r>
        <w:rPr>
          <w:rFonts w:cs="Arial" w:ascii="Arial" w:hAnsi="Arial"/>
        </w:rPr>
        <w:t xml:space="preserve"> </w:t>
      </w:r>
      <w:r>
        <w:rPr>
          <w:rFonts w:cs="Arial" w:ascii="Arial" w:hAnsi="Arial"/>
        </w:rPr>
        <w:t>This is the methodology utilized by EPNG in identifying NCPs for Full Requirements customers.</w:t>
      </w:r>
    </w:p>
    <w:p>
      <w:pPr>
        <w:pStyle w:val="FootnoteText"/>
        <w:rPr>
          <w:rFonts w:ascii="Arial" w:hAnsi="Arial" w:cs="Arial"/>
        </w:rPr>
      </w:pPr>
      <w:r>
        <w:rPr>
          <w:rFonts w:cs="Arial" w:ascii="Arial" w:hAnsi="Arial"/>
        </w:rPr>
      </w:r>
    </w:p>
  </w:footnote>
  <w:footnote w:id="4">
    <w:p>
      <w:pPr>
        <w:pStyle w:val="FootnoteText"/>
        <w:rPr/>
      </w:pPr>
      <w:r>
        <w:rPr>
          <w:rStyle w:val="FootnoteCharacters"/>
        </w:rPr>
        <w:footnoteRef/>
      </w:r>
      <w:r>
        <w:rPr>
          <w:rFonts w:cs="Arial" w:ascii="Arial" w:hAnsi="Arial"/>
        </w:rPr>
        <w:t xml:space="preserve"> </w:t>
      </w:r>
      <w:r>
        <w:rPr>
          <w:rFonts w:cs="Arial" w:ascii="Arial" w:hAnsi="Arial"/>
        </w:rPr>
        <w:t>The 4% system wide fuel is deducted from the available capacity for allocation to CD and FR customers. This leaves the 2,273 MMDth/d summer capacity for allocation and the 2,401 MMDth/d of winter capacity for allocation to customers.</w:t>
      </w:r>
    </w:p>
  </w:footnote>
  <w:footnote w:id="5">
    <w:p>
      <w:pPr>
        <w:pStyle w:val="FootnoteText"/>
        <w:rPr/>
      </w:pPr>
      <w:r>
        <w:rPr>
          <w:rStyle w:val="FootnoteCharacters"/>
        </w:rPr>
        <w:footnoteRef/>
      </w:r>
      <w:r>
        <w:rPr>
          <w:rFonts w:cs="Arial" w:ascii="Arial" w:hAnsi="Arial"/>
        </w:rPr>
        <w:t xml:space="preserve"> </w:t>
      </w:r>
      <w:r>
        <w:rPr>
          <w:rFonts w:cs="Arial" w:ascii="Arial" w:hAnsi="Arial"/>
        </w:rPr>
        <w:t>The 4% was deducted for the CD customers as this is the only place that they can take their gas from and their fuel has to be accounted for through this capacity.  In addition, 4% of the remaining capacity was deducted from the capacity remaining after deducting the CD customers' entitlements and the fuel.  This 4% deduction from remaining capacity accounts for the FR customers' fuel through the remaining capacity.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rPr>
    </w:pPr>
    <w:r>
      <w:rPr>
        <w:rFonts w:cs="Arial" w:ascii="Arial" w:hAnsi="Arial"/>
      </w:rPr>
      <w:t>Privileged and Confidential</w:t>
    </w:r>
  </w:p>
  <w:p>
    <w:pPr>
      <w:pStyle w:val="Header"/>
      <w:jc w:val="center"/>
      <w:rPr>
        <w:rFonts w:ascii="Arial" w:hAnsi="Arial" w:cs="Arial"/>
      </w:rPr>
    </w:pPr>
    <w:r>
      <w:rPr>
        <w:rFonts w:cs="Arial" w:ascii="Arial" w:hAnsi="Arial"/>
      </w:rPr>
      <w:t>For Settlement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upperLetter"/>
      <w:lvlText w:val="%1."/>
      <w:lvlJc w:val="start"/>
      <w:pPr>
        <w:tabs>
          <w:tab w:val="num" w:pos="1440"/>
        </w:tabs>
        <w:ind w:start="1440" w:hanging="720"/>
      </w:pPr>
      <w:rPr/>
    </w:lvl>
    <w:lvl w:ilvl="1">
      <w:start w:val="1"/>
      <w:numFmt w:val="upperLetter"/>
      <w:lvlText w:val="%2."/>
      <w:lvlJc w:val="start"/>
      <w:pPr>
        <w:tabs>
          <w:tab w:val="num" w:pos="72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1."/>
      <w:lvlJc w:val="start"/>
      <w:pPr>
        <w:tabs>
          <w:tab w:val="num" w:pos="2880"/>
        </w:tabs>
        <w:ind w:start="2880" w:hanging="720"/>
      </w:pPr>
      <w:rPr/>
    </w:lvl>
  </w:abstractNum>
  <w:abstractNum w:abstractNumId="5">
    <w:lvl w:ilvl="0">
      <w:start w:val="1"/>
      <w:numFmt w:val="upperLetter"/>
      <w:lvlText w:val="%1."/>
      <w:lvlJc w:val="start"/>
      <w:pPr>
        <w:tabs>
          <w:tab w:val="num" w:pos="1440"/>
        </w:tabs>
        <w:ind w:start="1440" w:hanging="72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6">
    <w:lvl w:ilvl="0">
      <w:start w:val="1"/>
      <w:numFmt w:val="upperLetter"/>
      <w:lvlText w:val="%1."/>
      <w:lvlJc w:val="start"/>
      <w:pPr>
        <w:tabs>
          <w:tab w:val="num" w:pos="1440"/>
        </w:tabs>
        <w:ind w:start="1440" w:hanging="720"/>
      </w:pPr>
      <w:rPr/>
    </w:lvl>
  </w:abstractNum>
  <w:abstractNum w:abstractNumId="7">
    <w:lvl w:ilvl="0">
      <w:start w:val="1"/>
      <w:numFmt w:val="upperRoman"/>
      <w:lvlText w:val="%1."/>
      <w:lvlJc w:val="start"/>
      <w:pPr>
        <w:tabs>
          <w:tab w:val="num" w:pos="360"/>
        </w:tabs>
        <w:ind w:start="0" w:hanging="0"/>
      </w:pPr>
    </w:lvl>
    <w:lvl w:ilvl="1">
      <w:start w:val="1"/>
      <w:numFmt w:val="upperLetter"/>
      <w:lvlText w:val="%2."/>
      <w:lvlJc w:val="start"/>
      <w:pPr>
        <w:tabs>
          <w:tab w:val="num" w:pos="1080"/>
        </w:tabs>
        <w:ind w:start="720" w:hanging="0"/>
      </w:pPr>
    </w:lvl>
    <w:lvl w:ilvl="2">
      <w:start w:val="1"/>
      <w:numFmt w:val="decimal"/>
      <w:lvlText w:val="%3."/>
      <w:lvlJc w:val="start"/>
      <w:pPr>
        <w:tabs>
          <w:tab w:val="num" w:pos="180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8">
    <w:lvl w:ilvl="0">
      <w:start w:val="1"/>
      <w:numFmt w:val="upperRoman"/>
      <w:lvlText w:val="%1."/>
      <w:lvlJc w:val="start"/>
      <w:pPr>
        <w:tabs>
          <w:tab w:val="num" w:pos="720"/>
        </w:tabs>
        <w:ind w:start="720" w:hanging="720"/>
      </w:pPr>
      <w:rPr/>
    </w:lvl>
  </w:abstractNum>
  <w:abstractNum w:abstractNumId="9">
    <w:lvl w:ilvl="0">
      <w:start w:val="1"/>
      <w:numFmt w:val="upperLetter"/>
      <w:lvlText w:val="%1."/>
      <w:lvlJc w:val="start"/>
      <w:pPr>
        <w:tabs>
          <w:tab w:val="num" w:pos="360"/>
        </w:tabs>
        <w:ind w:start="360" w:hanging="360"/>
      </w:pPr>
    </w:lvl>
    <w:lvl w:ilvl="1">
      <w:start w:val="1"/>
      <w:numFmt w:val="upperLetter"/>
      <w:lvlText w:val="%2."/>
      <w:lvlJc w:val="start"/>
      <w:pPr>
        <w:tabs>
          <w:tab w:val="num" w:pos="1080"/>
        </w:tabs>
        <w:ind w:start="720" w:hanging="0"/>
      </w:pPr>
      <w:rPr/>
    </w:lvl>
    <w:lvl w:ilvl="2">
      <w:start w:val="1"/>
      <w:numFmt w:val="decimal"/>
      <w:lvlText w:val="%3."/>
      <w:lvlJc w:val="start"/>
      <w:pPr>
        <w:tabs>
          <w:tab w:val="num" w:pos="1800"/>
        </w:tabs>
        <w:ind w:start="1440" w:hanging="0"/>
      </w:pPr>
      <w:rPr/>
    </w:lvl>
    <w:lvl w:ilvl="3">
      <w:start w:val="1"/>
      <w:numFmt w:val="lowerLetter"/>
      <w:lvlText w:val="%4)"/>
      <w:lvlJc w:val="start"/>
      <w:pPr>
        <w:tabs>
          <w:tab w:val="num" w:pos="2520"/>
        </w:tabs>
        <w:ind w:start="2160" w:hanging="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abstractNum w:abstractNumId="10">
    <w:lvl w:ilvl="0">
      <w:start w:val="1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8"/>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center"/>
      <w:outlineLvl w:val="1"/>
    </w:pPr>
    <w:rPr>
      <w:sz w:val="24"/>
      <w:u w:val="single"/>
    </w:rPr>
  </w:style>
  <w:style w:type="paragraph" w:styleId="Heading3">
    <w:name w:val="heading 3"/>
    <w:basedOn w:val="Normal"/>
    <w:next w:val="Normal"/>
    <w:qFormat/>
    <w:pPr>
      <w:keepNext w:val="true"/>
      <w:numPr>
        <w:ilvl w:val="0"/>
        <w:numId w:val="8"/>
      </w:numPr>
      <w:outlineLvl w:val="2"/>
    </w:pPr>
    <w:rPr>
      <w:sz w:val="24"/>
    </w:rPr>
  </w:style>
  <w:style w:type="paragraph" w:styleId="Heading4">
    <w:name w:val="heading 4"/>
    <w:basedOn w:val="Normal"/>
    <w:next w:val="Normal"/>
    <w:qFormat/>
    <w:pPr>
      <w:keepNext w:val="true"/>
      <w:numPr>
        <w:ilvl w:val="3"/>
        <w:numId w:val="1"/>
      </w:numPr>
      <w:spacing w:before="0" w:after="120"/>
      <w:outlineLvl w:val="3"/>
    </w:pPr>
    <w:rPr>
      <w:rFonts w:ascii="Arial" w:hAnsi="Arial" w:cs="Arial"/>
      <w:sz w:val="24"/>
      <w:u w:val="single"/>
    </w:rPr>
  </w:style>
  <w:style w:type="paragraph" w:styleId="Heading5">
    <w:name w:val="heading 5"/>
    <w:basedOn w:val="Normal"/>
    <w:next w:val="Normal"/>
    <w:qFormat/>
    <w:pPr>
      <w:keepNext w:val="true"/>
      <w:numPr>
        <w:ilvl w:val="0"/>
        <w:numId w:val="7"/>
      </w:numPr>
      <w:spacing w:before="0" w:after="120"/>
      <w:outlineLvl w:val="4"/>
    </w:pPr>
    <w:rPr>
      <w:rFonts w:ascii="Arial" w:hAnsi="Arial" w:cs="Arial"/>
      <w:sz w:val="24"/>
    </w:rPr>
  </w:style>
  <w:style w:type="paragraph" w:styleId="Heading6">
    <w:name w:val="heading 6"/>
    <w:basedOn w:val="Normal"/>
    <w:next w:val="Normal"/>
    <w:qFormat/>
    <w:pPr>
      <w:keepNext w:val="true"/>
      <w:numPr>
        <w:ilvl w:val="0"/>
        <w:numId w:val="7"/>
      </w:numPr>
      <w:spacing w:before="0" w:after="120"/>
      <w:outlineLvl w:val="5"/>
    </w:pPr>
    <w:rPr>
      <w:rFonts w:ascii="Arial" w:hAnsi="Arial" w:cs="Arial"/>
      <w:sz w:val="24"/>
    </w:rPr>
  </w:style>
  <w:style w:type="character" w:styleId="WW8Num1z0">
    <w:name w:val="WW8Num1z0"/>
    <w:qFormat/>
    <w:rPr/>
  </w:style>
  <w:style w:type="character" w:styleId="WW8Num2z0">
    <w:name w:val="WW8Num2z0"/>
    <w:qFormat/>
    <w:rPr/>
  </w:style>
  <w:style w:type="character" w:styleId="WW8Num3z0">
    <w:name w:val="WW8Num3z0"/>
    <w:qFormat/>
    <w:rPr>
      <w:rFonts w:cs="Arial"/>
    </w:rPr>
  </w:style>
  <w:style w:type="character" w:styleId="WW8Num4z0">
    <w:name w:val="WW8Num4z0"/>
    <w:qFormat/>
    <w:rPr>
      <w:rFonts w:cs="Arial"/>
    </w:rPr>
  </w:style>
  <w:style w:type="character" w:styleId="WW8Num5z0">
    <w:name w:val="WW8Num5z0"/>
    <w:qFormat/>
    <w:rPr/>
  </w:style>
  <w:style w:type="character" w:styleId="WW8Num6z0">
    <w:name w:val="WW8Num6z0"/>
    <w:qFormat/>
    <w:rPr>
      <w:rFonts w:cs="Arial"/>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Times New Roman" w:hAnsi="Times New Roman" w:cs="Times New Roman"/>
    </w:rPr>
  </w:style>
  <w:style w:type="character" w:styleId="WW8Num17z0">
    <w:name w:val="WW8Num17z0"/>
    <w:qFormat/>
    <w:rPr/>
  </w:style>
  <w:style w:type="character" w:styleId="WW8Num18z0">
    <w:name w:val="WW8Num18z0"/>
    <w:qFormat/>
    <w:rPr/>
  </w:style>
  <w:style w:type="character" w:styleId="WW8Num20z1">
    <w:name w:val="WW8Num20z1"/>
    <w:qFormat/>
    <w:rPr/>
  </w:style>
  <w:style w:type="character" w:styleId="WW8Num21z0">
    <w:name w:val="WW8Num2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1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b/>
      <w:sz w:val="24"/>
    </w:rPr>
  </w:style>
  <w:style w:type="paragraph" w:styleId="BodyTextIndent">
    <w:name w:val="Body Text Indent"/>
    <w:basedOn w:val="Normal"/>
    <w:pPr>
      <w:ind w:hanging="0" w:start="720" w:end="0"/>
    </w:pPr>
    <w:rPr>
      <w:rFonts w:ascii="Arial" w:hAnsi="Arial" w:cs="Arial"/>
      <w:sz w:val="22"/>
    </w:rPr>
  </w:style>
  <w:style w:type="paragraph" w:styleId="BodyTextIndent2">
    <w:name w:val="Body Text Indent 2"/>
    <w:basedOn w:val="Normal"/>
    <w:qFormat/>
    <w:pPr>
      <w:spacing w:before="0" w:after="120"/>
      <w:ind w:hanging="720" w:start="2160" w:end="0"/>
    </w:pPr>
    <w:rPr>
      <w:rFonts w:ascii="Arial" w:hAnsi="Arial" w:cs="Arial"/>
      <w:sz w:val="24"/>
    </w:rPr>
  </w:style>
  <w:style w:type="paragraph" w:styleId="BodyTextIndent3">
    <w:name w:val="Body Text Indent 3"/>
    <w:basedOn w:val="Normal"/>
    <w:qFormat/>
    <w:pPr>
      <w:ind w:hanging="0" w:start="1440" w:end="0"/>
    </w:pPr>
    <w:rPr>
      <w:rFonts w:ascii="Arial" w:hAnsi="Arial" w:cs="Arial"/>
      <w:sz w:val="22"/>
    </w:rPr>
  </w:style>
  <w:style w:type="paragraph" w:styleId="FootnoteText">
    <w:name w:val="footnote text"/>
    <w:basedOn w:val="Normal"/>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2001-07-26T17:41:00Z</dcterms:created>
  <dc:creator>Paul B. Keeler</dc:creator>
  <dc:description/>
  <dc:language>en-CA</dc:language>
  <cp:lastModifiedBy>Joel Greene</cp:lastModifiedBy>
  <cp:lastPrinted>2001-07-26T17:39:00Z</cp:lastPrinted>
  <dcterms:modified xsi:type="dcterms:W3CDTF">2001-07-30T12:17:00Z</dcterms:modified>
  <cp:revision>11</cp:revision>
  <dc:subject/>
  <dc:title>BURLINGTON RESOURCES’</dc:title>
</cp:coreProperties>
</file>