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s>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tabs>
          <w:tab w:val="clear" w:pos="720"/>
          <w:tab w:val="left" w:pos="360" w:leader="none"/>
        </w:tabs>
        <w:rPr>
          <w:sz w:val="24"/>
        </w:rPr>
      </w:pPr>
      <w:r>
        <w:rPr>
          <w:sz w:val="24"/>
        </w:rPr>
      </w:r>
    </w:p>
    <w:p>
      <w:pPr>
        <w:pStyle w:val="Normal"/>
        <w:jc w:val="both"/>
        <w:rPr>
          <w:sz w:val="24"/>
        </w:rPr>
      </w:pPr>
      <w:r>
        <w:rPr>
          <w:sz w:val="24"/>
        </w:rPr>
      </w:r>
    </w:p>
    <w:p>
      <w:pPr>
        <w:pStyle w:val="Normal"/>
        <w:jc w:val="both"/>
        <w:rPr>
          <w:sz w:val="24"/>
        </w:rPr>
      </w:pPr>
      <w:r>
        <w:rPr>
          <w:sz w:val="24"/>
        </w:rPr>
        <w:t>John Underhill</w:t>
      </w:r>
    </w:p>
    <w:p>
      <w:pPr>
        <w:pStyle w:val="Normal"/>
        <w:jc w:val="both"/>
        <w:rPr>
          <w:sz w:val="24"/>
        </w:rPr>
      </w:pPr>
      <w:r>
        <w:rPr>
          <w:sz w:val="24"/>
        </w:rPr>
        <w:t>Manager, System Operations</w:t>
      </w:r>
    </w:p>
    <w:p>
      <w:pPr>
        <w:pStyle w:val="Heading2"/>
        <w:ind w:hanging="0" w:start="0"/>
        <w:rPr/>
      </w:pPr>
      <w:r>
        <w:rPr/>
        <w:t>Salt River Project, PAB303</w:t>
      </w:r>
    </w:p>
    <w:p>
      <w:pPr>
        <w:pStyle w:val="Normal"/>
        <w:jc w:val="both"/>
        <w:rPr>
          <w:sz w:val="24"/>
        </w:rPr>
      </w:pPr>
      <w:r>
        <w:rPr>
          <w:sz w:val="24"/>
        </w:rPr>
        <w:t>P.O. Box 52025</w:t>
      </w:r>
    </w:p>
    <w:p>
      <w:pPr>
        <w:pStyle w:val="Normal"/>
        <w:jc w:val="both"/>
        <w:rPr>
          <w:sz w:val="24"/>
        </w:rPr>
      </w:pPr>
      <w:r>
        <w:rPr>
          <w:sz w:val="24"/>
        </w:rPr>
        <w:t xml:space="preserve">Phoenix, AZ </w:t>
      </w:r>
    </w:p>
    <w:p>
      <w:pPr>
        <w:pStyle w:val="Normal"/>
        <w:jc w:val="both"/>
        <w:rPr>
          <w:sz w:val="24"/>
        </w:rPr>
      </w:pPr>
      <w:r>
        <w:rPr>
          <w:sz w:val="24"/>
        </w:rPr>
      </w:r>
    </w:p>
    <w:p>
      <w:pPr>
        <w:pStyle w:val="Heading3"/>
        <w:rPr>
          <w:sz w:val="24"/>
        </w:rPr>
      </w:pPr>
      <w:r>
        <w:rPr>
          <w:sz w:val="24"/>
        </w:rPr>
        <w:t>Subject:  SRP Change in Business Practice at Palo Verde</w:t>
      </w:r>
    </w:p>
    <w:p>
      <w:pPr>
        <w:pStyle w:val="Normal"/>
        <w:jc w:val="both"/>
        <w:rPr>
          <w:sz w:val="24"/>
        </w:rPr>
      </w:pPr>
      <w:r>
        <w:rPr>
          <w:sz w:val="24"/>
        </w:rPr>
      </w:r>
    </w:p>
    <w:p>
      <w:pPr>
        <w:pStyle w:val="Normal"/>
        <w:jc w:val="both"/>
        <w:rPr>
          <w:sz w:val="24"/>
        </w:rPr>
      </w:pPr>
      <w:r>
        <w:rPr>
          <w:sz w:val="24"/>
        </w:rPr>
        <w:t>Dear Mr. Underhill:</w:t>
        <w:tab/>
      </w:r>
    </w:p>
    <w:p>
      <w:pPr>
        <w:pStyle w:val="Normal"/>
        <w:jc w:val="both"/>
        <w:rPr>
          <w:sz w:val="24"/>
        </w:rPr>
      </w:pPr>
      <w:r>
        <w:rPr>
          <w:sz w:val="24"/>
        </w:rPr>
      </w:r>
    </w:p>
    <w:p>
      <w:pPr>
        <w:pStyle w:val="Normal"/>
        <w:jc w:val="both"/>
        <w:rPr>
          <w:sz w:val="24"/>
        </w:rPr>
      </w:pPr>
      <w:r>
        <w:rPr>
          <w:sz w:val="24"/>
        </w:rPr>
        <w:t xml:space="preserve">This letter is in response to your letter dated September 12, 2000, announcing a change to a long-standing business practice regarding interchange scheduling at Palo Verde, effective September 18, 2000.  Public Service Company of New Mexico (PNM), an owner at Palo Verde, will be adversely impacted by this unilateral action on the part of Salt River Project (SRP), as are others, and we object to its adoption.  With this letter, PNM is responding to specific points raised in the above-mentioned letter that we believe are misleading or incorrect.  This letter will also inform you of actions PNM intends to take to modify interchange accounting procedures as a result of SRP’s intended business practice change. </w:t>
      </w:r>
    </w:p>
    <w:p>
      <w:pPr>
        <w:pStyle w:val="Normal"/>
        <w:jc w:val="both"/>
        <w:rPr>
          <w:sz w:val="24"/>
        </w:rPr>
      </w:pPr>
      <w:r>
        <w:rPr>
          <w:sz w:val="24"/>
        </w:rPr>
      </w:r>
    </w:p>
    <w:p>
      <w:pPr>
        <w:pStyle w:val="Normal"/>
        <w:jc w:val="both"/>
        <w:rPr>
          <w:sz w:val="24"/>
        </w:rPr>
      </w:pPr>
      <w:r>
        <w:rPr>
          <w:sz w:val="24"/>
        </w:rPr>
        <w:t>In your letter you mention SRP’s efforts at seeking input on scheduling practices at Palo Verde.  PNM is aware of these efforts and, in fact, participated in the WSCC Interchange Scheduling and Accounting Sub-Committee (ISAS) discussions on this issue.  It was not made clear in your letter, however, that the ISAS did not endorse the change in business practice that SRP is now implementing.  Also, it is not surprising that the consensus of the WSCC Steering Committee regarding this issue reflected a viewpoint that current scheduling practices are a detriment to reliability, in view of the fact that merchant interests were not adequately represented at that meeting.</w:t>
      </w:r>
    </w:p>
    <w:p>
      <w:pPr>
        <w:pStyle w:val="Normal"/>
        <w:jc w:val="both"/>
        <w:rPr>
          <w:sz w:val="24"/>
        </w:rPr>
      </w:pPr>
      <w:r>
        <w:rPr>
          <w:sz w:val="24"/>
        </w:rPr>
      </w:r>
    </w:p>
    <w:p>
      <w:pPr>
        <w:pStyle w:val="BodyText"/>
        <w:rPr>
          <w:sz w:val="24"/>
        </w:rPr>
      </w:pPr>
      <w:r>
        <w:rPr>
          <w:sz w:val="24"/>
        </w:rPr>
        <w:t xml:space="preserve">In the fourth paragraph of your letter you cite the ‘NERC Operating Manual’ as defining the Sink Control Area as “the Control Area in which the Sink (load) is located.”  You then declare that “Transaction Paths that include Control Areas other than SRP as the Sink Control Area at Palo Verde do not reflect the ultimate load that consumes the energy being generated” and that, therefore, “one or more additional Transaction Paths must be identified before the physical delivery of the energy to the ultimate Sink Control Areas can take place”.  In other words, SRP is stating that it will not allow e-tags that sink to a </w:t>
      </w:r>
      <w:r>
        <w:br w:type="page"/>
      </w:r>
    </w:p>
    <w:p>
      <w:pPr>
        <w:pStyle w:val="BodyText"/>
        <w:rPr>
          <w:b/>
          <w:sz w:val="24"/>
        </w:rPr>
      </w:pPr>
      <w:r>
        <w:rPr>
          <w:b/>
          <w:sz w:val="24"/>
        </w:rPr>
        <w:t>SRP Change in Business Practice at Palo Verde</w:t>
      </w:r>
    </w:p>
    <w:p>
      <w:pPr>
        <w:pStyle w:val="BodyText"/>
        <w:rPr>
          <w:b/>
          <w:sz w:val="24"/>
        </w:rPr>
      </w:pPr>
      <w:r>
        <w:rPr>
          <w:b/>
          <w:sz w:val="24"/>
        </w:rPr>
        <w:t>September 19, 2000</w:t>
      </w:r>
    </w:p>
    <w:p>
      <w:pPr>
        <w:pStyle w:val="BodyText"/>
        <w:rPr>
          <w:b/>
          <w:sz w:val="24"/>
        </w:rPr>
      </w:pPr>
      <w:r>
        <w:rPr>
          <w:b/>
          <w:sz w:val="24"/>
        </w:rPr>
        <w:t>Page Two</w:t>
      </w:r>
    </w:p>
    <w:p>
      <w:pPr>
        <w:pStyle w:val="BodyText"/>
        <w:rPr>
          <w:b/>
          <w:sz w:val="24"/>
        </w:rPr>
      </w:pPr>
      <w:r>
        <w:rPr>
          <w:b/>
          <w:sz w:val="24"/>
        </w:rPr>
      </w:r>
    </w:p>
    <w:p>
      <w:pPr>
        <w:pStyle w:val="BodyText"/>
        <w:rPr>
          <w:sz w:val="24"/>
        </w:rPr>
      </w:pPr>
      <w:r>
        <w:rPr>
          <w:sz w:val="24"/>
        </w:rPr>
      </w:r>
    </w:p>
    <w:p>
      <w:pPr>
        <w:pStyle w:val="BodyText"/>
        <w:rPr>
          <w:sz w:val="24"/>
        </w:rPr>
      </w:pPr>
      <w:r>
        <w:rPr>
          <w:sz w:val="24"/>
        </w:rPr>
      </w:r>
    </w:p>
    <w:p>
      <w:pPr>
        <w:pStyle w:val="BodyText"/>
        <w:rPr>
          <w:sz w:val="24"/>
        </w:rPr>
      </w:pPr>
      <w:r>
        <w:rPr>
          <w:sz w:val="24"/>
        </w:rPr>
        <w:t>generation-only control area.  This is in direct conflict with a NERC Policy Implementation Task Force ruling issued on October 26, 1999 which states that “The existing NERC control area criteria do not require a control area to have load, and NERC Policies do not prohibit a generation-only control area from scheduling into its boundary.”  NERC  policy does not support SRP’s belief, as stated in paragraph five of your letter, that denial of e-tags that sink to a generation-only control area is necessary for maintaining system reliability.</w:t>
      </w:r>
    </w:p>
    <w:p>
      <w:pPr>
        <w:pStyle w:val="Normal"/>
        <w:jc w:val="both"/>
        <w:rPr>
          <w:sz w:val="24"/>
        </w:rPr>
      </w:pPr>
      <w:r>
        <w:rPr>
          <w:sz w:val="24"/>
        </w:rPr>
      </w:r>
    </w:p>
    <w:p>
      <w:pPr>
        <w:pStyle w:val="Normal"/>
        <w:jc w:val="both"/>
        <w:rPr>
          <w:sz w:val="24"/>
        </w:rPr>
      </w:pPr>
      <w:r>
        <w:rPr>
          <w:sz w:val="24"/>
        </w:rPr>
        <w:t>In the introduction to the ruling mentioned above, the NERC Policy Implementation Task Force states that “NERC has established the Control Area Criteria Task Force and is examining the whole range of issues and functions associated with the activity that has heretofore been performed by control areas.”  Any attempt by other parties to enact policies or practices outside of this process will at minimum, cause confusion, or, at worst put in place practices which violate existing NERC policy.  The latter appears to have occurred in this instance as a result of SRP’s announced change in business practice.</w:t>
      </w:r>
    </w:p>
    <w:p>
      <w:pPr>
        <w:pStyle w:val="BodyText"/>
        <w:rPr>
          <w:sz w:val="24"/>
        </w:rPr>
      </w:pPr>
      <w:r>
        <w:rPr>
          <w:sz w:val="24"/>
        </w:rPr>
      </w:r>
    </w:p>
    <w:p>
      <w:pPr>
        <w:pStyle w:val="BodyText"/>
        <w:rPr/>
      </w:pPr>
      <w:r>
        <w:rPr>
          <w:sz w:val="24"/>
        </w:rPr>
        <w:t xml:space="preserve">In paragraph six of your letter you state that SRP is liable for PNM inadvertent energy at Palo Verde.  In fact, that is not the case any more so than the liability </w:t>
      </w:r>
      <w:r>
        <w:rPr>
          <w:sz w:val="24"/>
          <w:u w:val="single"/>
        </w:rPr>
        <w:t>any</w:t>
      </w:r>
      <w:r>
        <w:rPr>
          <w:sz w:val="24"/>
        </w:rPr>
        <w:t xml:space="preserve"> two adjacent control areas incur as a result of interchange transaction scheduling. What is more, PNM schedules, acts and responds as a control area at Palo Verde today - actions for which SRP is also </w:t>
      </w:r>
      <w:r>
        <w:rPr>
          <w:sz w:val="24"/>
          <w:u w:val="single"/>
        </w:rPr>
        <w:t xml:space="preserve">not </w:t>
      </w:r>
      <w:r>
        <w:rPr>
          <w:sz w:val="24"/>
        </w:rPr>
        <w:t>liable.</w:t>
      </w:r>
    </w:p>
    <w:p>
      <w:pPr>
        <w:pStyle w:val="BodyText"/>
        <w:rPr>
          <w:sz w:val="24"/>
        </w:rPr>
      </w:pPr>
      <w:r>
        <w:rPr>
          <w:sz w:val="24"/>
        </w:rPr>
      </w:r>
    </w:p>
    <w:p>
      <w:pPr>
        <w:pStyle w:val="BodyText"/>
        <w:rPr>
          <w:sz w:val="24"/>
        </w:rPr>
      </w:pPr>
      <w:r>
        <w:rPr>
          <w:sz w:val="24"/>
        </w:rPr>
        <w:t>In response to your statement in the same paragraph that “allowing specific entities to Park energy schedules at the Palo Verde switchyard may be viewed as a comparability issue”, we would simply say that any entity which chooses to take an ownership position in the Palo Verde Generating Station and Palo Verde High Voltage Switchyard, may acquire the same rights as PNM at Palo Verde.  Ironically, SRP’s actions threaten to further restrict market access by the numerous entities that currently receive services from PNM at Palo Verde.  Whether or not SRP’s actions can be termed discriminatory, they are most certainly exclusionary, which we, PNM, believe is contrary to the spirit of creating a competitive electricity market.</w:t>
      </w:r>
    </w:p>
    <w:p>
      <w:pPr>
        <w:pStyle w:val="Normal"/>
        <w:jc w:val="both"/>
        <w:rPr>
          <w:sz w:val="24"/>
        </w:rPr>
      </w:pPr>
      <w:r>
        <w:rPr>
          <w:sz w:val="24"/>
        </w:rPr>
      </w:r>
    </w:p>
    <w:p>
      <w:pPr>
        <w:pStyle w:val="BodyText"/>
        <w:rPr>
          <w:sz w:val="24"/>
        </w:rPr>
      </w:pPr>
      <w:r>
        <w:rPr>
          <w:sz w:val="24"/>
        </w:rPr>
        <w:t xml:space="preserve">Since SRP first advised other entities of a contemplated business practice change in Palo Verde scheduling, PNM has repeatedly attempted to resolve this issue through multiple communications, including ISAS meetings, phone conversations and a meeting at your Phoenix office.  We acknowledge that you postponed any such business practice change until now, in order to reduce the impact to existing contractual commitments until the busy third-quarter passed.  However, the issues have not yet been resolved.  As a result, and because of recent metering-related issues at Palo Verde, should SRP insist on </w:t>
      </w:r>
      <w:r>
        <w:br w:type="page"/>
      </w:r>
    </w:p>
    <w:p>
      <w:pPr>
        <w:pStyle w:val="BodyText"/>
        <w:rPr>
          <w:b/>
        </w:rPr>
      </w:pPr>
      <w:r>
        <w:rPr>
          <w:b/>
        </w:rPr>
        <w:t>SRP Change in Business Practice at Palo Verde</w:t>
      </w:r>
    </w:p>
    <w:p>
      <w:pPr>
        <w:pStyle w:val="BodyText"/>
        <w:rPr>
          <w:b/>
        </w:rPr>
      </w:pPr>
      <w:r>
        <w:rPr>
          <w:b/>
        </w:rPr>
        <w:t>September 19, 2000</w:t>
      </w:r>
    </w:p>
    <w:p>
      <w:pPr>
        <w:pStyle w:val="BodyText"/>
        <w:rPr>
          <w:b/>
        </w:rPr>
      </w:pPr>
      <w:r>
        <w:rPr>
          <w:b/>
        </w:rPr>
        <w:t>Page Three</w:t>
      </w:r>
    </w:p>
    <w:p>
      <w:pPr>
        <w:pStyle w:val="BodyText"/>
        <w:rPr>
          <w:b/>
        </w:rPr>
      </w:pPr>
      <w:r>
        <w:rPr>
          <w:b/>
        </w:rPr>
      </w:r>
    </w:p>
    <w:p>
      <w:pPr>
        <w:pStyle w:val="BodyText"/>
        <w:rPr/>
      </w:pPr>
      <w:r>
        <w:rPr/>
      </w:r>
    </w:p>
    <w:p>
      <w:pPr>
        <w:pStyle w:val="BodyText"/>
        <w:rPr/>
      </w:pPr>
      <w:r>
        <w:rPr/>
      </w:r>
    </w:p>
    <w:p>
      <w:pPr>
        <w:pStyle w:val="BodyText"/>
        <w:rPr>
          <w:sz w:val="24"/>
        </w:rPr>
      </w:pPr>
      <w:r>
        <w:rPr>
          <w:sz w:val="24"/>
        </w:rPr>
        <w:t>unilateral business practice changes without first resolving these issues, PNM will, likewise, need to pursue business practice changes which exercise our full existing rights as a control area at Palo Verde.  We recognize that PNM does not have load at Palo Verde, but having load is not a requirement to sink transactions under existing NERC policies.  PNM is committed to pursuing this matter, and has retained the expert advice of Iliff and Associates, Inc. to assist in this activity and to remove any doubt SRP may have regarding PNM’s ability to sink transactions at Palo Verde.  Mr. Duane Farmer will be in touch with your office in the very near future to ask for your cooperation in revising monthly interchange accounting procedures in conjunction with Arizona Public Service (APS) and your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5040" w:end="0"/>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start="5040" w:end="0"/>
        <w:jc w:val="both"/>
        <w:rPr>
          <w:sz w:val="24"/>
        </w:rPr>
      </w:pPr>
      <w:r>
        <w:rPr>
          <w:sz w:val="24"/>
        </w:rPr>
        <w:t>Eddie Padilla</w:t>
      </w:r>
    </w:p>
    <w:p>
      <w:pPr>
        <w:pStyle w:val="Normal"/>
        <w:ind w:start="5040" w:end="0"/>
        <w:jc w:val="both"/>
        <w:rPr>
          <w:sz w:val="24"/>
        </w:rPr>
      </w:pPr>
      <w:r>
        <w:rPr>
          <w:sz w:val="24"/>
        </w:rPr>
        <w:t>Senior Vice President,</w:t>
      </w:r>
    </w:p>
    <w:p>
      <w:pPr>
        <w:pStyle w:val="BodyTextIndent"/>
        <w:rPr>
          <w:sz w:val="24"/>
        </w:rPr>
      </w:pPr>
      <w:r>
        <w:rPr>
          <w:sz w:val="24"/>
        </w:rPr>
        <w:t xml:space="preserve">Bulk Power Marketing and Development </w:t>
      </w:r>
    </w:p>
    <w:p>
      <w:pPr>
        <w:pStyle w:val="Normal"/>
        <w:ind w:start="504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EP:tn</w:t>
      </w:r>
    </w:p>
    <w:p>
      <w:pPr>
        <w:pStyle w:val="Normal"/>
        <w:jc w:val="both"/>
        <w:rPr>
          <w:sz w:val="24"/>
        </w:rPr>
      </w:pPr>
      <w:r>
        <w:rPr>
          <w:sz w:val="24"/>
        </w:rPr>
      </w:r>
    </w:p>
    <w:p>
      <w:pPr>
        <w:pStyle w:val="Normal"/>
        <w:jc w:val="both"/>
        <w:rPr>
          <w:sz w:val="24"/>
        </w:rPr>
      </w:pPr>
      <w:r>
        <w:rPr>
          <w:sz w:val="24"/>
        </w:rPr>
        <w:t>cc:</w:t>
        <w:tab/>
        <w:t>Mr. Don Benjamin, NERC</w:t>
      </w:r>
    </w:p>
    <w:p>
      <w:pPr>
        <w:pStyle w:val="Normal"/>
        <w:ind w:firstLine="720" w:end="0"/>
        <w:jc w:val="both"/>
        <w:rPr>
          <w:sz w:val="24"/>
        </w:rPr>
      </w:pPr>
      <w:r>
        <w:rPr>
          <w:sz w:val="24"/>
        </w:rPr>
        <w:t>Mr. Robert Clark, Esq., PNM</w:t>
      </w:r>
    </w:p>
    <w:p>
      <w:pPr>
        <w:pStyle w:val="Normal"/>
        <w:ind w:firstLine="720" w:end="0"/>
        <w:jc w:val="both"/>
        <w:rPr>
          <w:sz w:val="24"/>
        </w:rPr>
      </w:pPr>
      <w:r>
        <w:rPr>
          <w:sz w:val="24"/>
        </w:rPr>
        <w:t>Mr. Duane Farmer, PNM</w:t>
      </w:r>
    </w:p>
    <w:p>
      <w:pPr>
        <w:pStyle w:val="Normal"/>
        <w:ind w:firstLine="720" w:end="0"/>
        <w:jc w:val="both"/>
        <w:rPr>
          <w:sz w:val="24"/>
        </w:rPr>
      </w:pPr>
      <w:r>
        <w:rPr>
          <w:sz w:val="24"/>
        </w:rPr>
        <w:t>Mr. Roger Flynn, PNM</w:t>
      </w:r>
    </w:p>
    <w:p>
      <w:pPr>
        <w:pStyle w:val="Normal"/>
        <w:ind w:firstLine="720" w:end="0"/>
        <w:jc w:val="both"/>
        <w:rPr>
          <w:sz w:val="24"/>
        </w:rPr>
      </w:pPr>
      <w:r>
        <w:rPr>
          <w:sz w:val="24"/>
        </w:rPr>
        <w:t>Mr. Tom Hamm, PNM</w:t>
      </w:r>
    </w:p>
    <w:p>
      <w:pPr>
        <w:pStyle w:val="Normal"/>
        <w:jc w:val="both"/>
        <w:rPr>
          <w:sz w:val="24"/>
        </w:rPr>
      </w:pPr>
      <w:r>
        <w:rPr>
          <w:sz w:val="24"/>
        </w:rPr>
        <w:tab/>
        <w:t>Mr. Ken Iliff, Iliff and Associates</w:t>
      </w:r>
    </w:p>
    <w:p>
      <w:pPr>
        <w:pStyle w:val="Normal"/>
        <w:ind w:firstLine="720" w:end="0"/>
        <w:jc w:val="both"/>
        <w:rPr>
          <w:sz w:val="24"/>
        </w:rPr>
      </w:pPr>
      <w:r>
        <w:rPr>
          <w:sz w:val="24"/>
        </w:rPr>
        <w:t>Mr. Steve Kean, Enron</w:t>
      </w:r>
    </w:p>
    <w:p>
      <w:pPr>
        <w:pStyle w:val="Normal"/>
        <w:ind w:firstLine="720" w:end="0"/>
        <w:jc w:val="both"/>
        <w:rPr>
          <w:sz w:val="24"/>
        </w:rPr>
      </w:pPr>
      <w:r>
        <w:rPr>
          <w:sz w:val="24"/>
        </w:rPr>
        <w:t>Mr. Bill Real, PNM</w:t>
      </w:r>
    </w:p>
    <w:p>
      <w:pPr>
        <w:pStyle w:val="Normal"/>
        <w:jc w:val="both"/>
        <w:rPr>
          <w:sz w:val="24"/>
        </w:rPr>
      </w:pPr>
      <w:r>
        <w:rPr>
          <w:sz w:val="24"/>
        </w:rPr>
        <w:tab/>
        <w:t>Mr. Jeffrey K. Skilling, Enron</w:t>
      </w:r>
    </w:p>
    <w:p>
      <w:pPr>
        <w:pStyle w:val="Normal"/>
        <w:jc w:val="both"/>
        <w:rPr>
          <w:sz w:val="24"/>
        </w:rPr>
      </w:pPr>
      <w:r>
        <w:rPr>
          <w:sz w:val="24"/>
        </w:rPr>
        <w:tab/>
        <w:t>Mr. Gordon Scott, NERC</w:t>
      </w:r>
    </w:p>
    <w:p>
      <w:pPr>
        <w:pStyle w:val="Normal"/>
        <w:ind w:firstLine="720" w:end="0"/>
        <w:jc w:val="both"/>
        <w:rPr>
          <w:sz w:val="24"/>
        </w:rPr>
      </w:pPr>
      <w:r>
        <w:rPr>
          <w:sz w:val="24"/>
        </w:rPr>
        <w:t>Recipients of Underhill Letter, Dated September 12, 2000</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start="-180" w:end="-360"/>
      <w:rPr>
        <w:sz w:val="18"/>
      </w:rPr>
    </w:pPr>
    <w:r>
      <w:rPr>
        <w:sz w:val="18"/>
      </w:rPr>
    </w:r>
  </w:p>
  <w:p>
    <w:pPr>
      <w:pStyle w:val="Normal"/>
      <w:widowControl w:val="false"/>
      <w:ind w:firstLine="180" w:start="-180" w:end="-360"/>
      <w:rPr>
        <w:b/>
        <w:i/>
        <w:i/>
        <w:sz w:val="18"/>
      </w:rPr>
    </w:pPr>
    <w:r>
      <w:rPr>
        <w:sz w:val="18"/>
      </w:rPr>
      <w:t>Public Service Company</w:t>
      <w:tab/>
      <w:tab/>
      <w:tab/>
      <w:tab/>
      <w:tab/>
      <w:tab/>
      <w:tab/>
      <w:tab/>
    </w:r>
  </w:p>
  <w:p>
    <w:pPr>
      <w:pStyle w:val="Normal"/>
      <w:widowControl w:val="false"/>
      <w:ind w:firstLine="180" w:start="-180" w:end="-360"/>
      <w:rPr>
        <w:sz w:val="18"/>
      </w:rPr>
    </w:pPr>
    <w:r>
      <w:rPr>
        <w:sz w:val="18"/>
      </w:rPr>
      <w:t>of New Mexico</w:t>
    </w:r>
  </w:p>
  <w:p>
    <w:pPr>
      <w:pStyle w:val="Normal"/>
      <w:widowControl w:val="false"/>
      <w:ind w:firstLine="180" w:start="-180" w:end="-360"/>
      <w:rPr>
        <w:sz w:val="18"/>
      </w:rPr>
    </w:pPr>
    <w:r>
      <w:rPr>
        <w:sz w:val="18"/>
      </w:rPr>
      <w:t>Wholesale Power Marketing</w:t>
    </w:r>
  </w:p>
  <w:p>
    <w:pPr>
      <w:pStyle w:val="Normal"/>
      <w:widowControl w:val="false"/>
      <w:ind w:firstLine="180" w:start="-180" w:end="-360"/>
      <w:rPr>
        <w:sz w:val="18"/>
      </w:rPr>
    </w:pPr>
    <w:r>
      <w:rPr>
        <w:sz w:val="18"/>
      </w:rPr>
      <w:t>Alvarado Square MS-EP11</w:t>
    </w:r>
  </w:p>
  <w:p>
    <w:pPr>
      <w:pStyle w:val="Normal"/>
      <w:widowControl w:val="false"/>
      <w:ind w:firstLine="180" w:start="-180" w:end="-360"/>
      <w:rPr>
        <w:sz w:val="18"/>
      </w:rPr>
    </w:pPr>
    <w:r>
      <w:rPr>
        <w:sz w:val="18"/>
      </w:rPr>
      <w:t>Albuquerque, NM 87158</w:t>
    </w:r>
  </w:p>
  <w:p>
    <w:pPr>
      <w:pStyle w:val="Normal"/>
      <w:widowControl w:val="false"/>
      <w:ind w:firstLine="180" w:start="-180" w:end="-360"/>
      <w:rPr>
        <w:sz w:val="18"/>
      </w:rPr>
    </w:pPr>
    <w:r>
      <w:rPr>
        <w:sz w:val="18"/>
      </w:rPr>
      <w:t>505 241-2400</w:t>
    </w:r>
  </w:p>
  <w:p>
    <w:pPr>
      <w:pStyle w:val="Normal"/>
      <w:widowControl w:val="false"/>
      <w:ind w:firstLine="180" w:start="-180" w:end="-360"/>
      <w:rPr>
        <w:sz w:val="18"/>
      </w:rPr>
    </w:pPr>
    <w:r>
      <w:rPr>
        <w:sz w:val="18"/>
      </w:rPr>
      <w:t>Fax 505 241-6891</w:t>
    </w:r>
  </w:p>
  <w:p>
    <w:pPr>
      <w:pStyle w:val="Normal"/>
      <w:widowControl w:val="false"/>
      <w:ind w:start="-180" w:end="-180"/>
      <w:jc w:val="end"/>
      <w:rPr/>
    </w:pPr>
    <w:r>
      <w:rPr/>
      <w:drawing>
        <wp:inline distT="0" distB="0" distL="0" distR="0">
          <wp:extent cx="934720" cy="591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0" t="-48" r="-30" b="-48"/>
                  <a:stretch>
                    <a:fillRect/>
                  </a:stretch>
                </pic:blipFill>
                <pic:spPr bwMode="auto">
                  <a:xfrm>
                    <a:off x="0" y="0"/>
                    <a:ext cx="934720" cy="59182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40"/>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ind w:firstLine="720" w:start="0" w:end="0"/>
      <w:jc w:val="both"/>
      <w:outlineLvl w:val="2"/>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04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2000-09-19T21:21:00Z</dcterms:created>
  <dc:creator>Tom Nesmith</dc:creator>
  <dc:description/>
  <dc:language>en-CA</dc:language>
  <cp:lastModifiedBy>DTS</cp:lastModifiedBy>
  <cp:lastPrinted>2000-09-19T17:47:00Z</cp:lastPrinted>
  <dcterms:modified xsi:type="dcterms:W3CDTF">2000-09-19T21:21:00Z</dcterms:modified>
  <cp:revision>2</cp:revision>
  <dc:subject/>
  <dc:title>Public Service Company</dc:title>
</cp:coreProperties>
</file>