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Heading3"/>
        <w:ind w:hanging="0" w:start="0"/>
        <w:rPr/>
      </w:pPr>
      <w:r>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pPr>
      <w:r>
        <w:rPr/>
      </w:r>
    </w:p>
    <w:p>
      <w:pPr>
        <w:pStyle w:val="Normal"/>
        <w:rPr/>
      </w:pPr>
      <w:r>
        <w:rPr/>
      </w:r>
    </w:p>
    <w:p>
      <w:pPr>
        <w:pStyle w:val="Normal"/>
        <w:rPr/>
      </w:pPr>
      <w:r>
        <w:rPr/>
      </w:r>
    </w:p>
    <w:tbl>
      <w:tblPr>
        <w:tblW w:w="9090" w:type="dxa"/>
        <w:jc w:val="start"/>
        <w:tblInd w:w="108" w:type="dxa"/>
        <w:tblLayout w:type="fixed"/>
        <w:tblCellMar>
          <w:top w:w="0" w:type="dxa"/>
          <w:start w:w="108" w:type="dxa"/>
          <w:bottom w:w="0" w:type="dxa"/>
          <w:end w:w="108" w:type="dxa"/>
        </w:tblCellMar>
      </w:tblPr>
      <w:tblGrid>
        <w:gridCol w:w="5130"/>
        <w:gridCol w:w="540"/>
        <w:gridCol w:w="3420"/>
      </w:tblGrid>
      <w:tr>
        <w:trPr/>
        <w:tc>
          <w:tcPr>
            <w:tcW w:w="5130" w:type="dxa"/>
            <w:tcBorders/>
          </w:tcPr>
          <w:p>
            <w:pPr>
              <w:pStyle w:val="Normal"/>
              <w:rPr/>
            </w:pPr>
            <w:r>
              <w:rPr/>
              <w:t xml:space="preserve">  </w:t>
            </w:r>
            <w:r>
              <w:rPr/>
              <w:t>El Paso Natural Gas Company</w:t>
            </w:r>
          </w:p>
          <w:p>
            <w:pPr>
              <w:pStyle w:val="Normal"/>
              <w:rPr/>
            </w:pPr>
            <w:r>
              <w:rPr/>
            </w:r>
          </w:p>
          <w:p>
            <w:pPr>
              <w:pStyle w:val="Normal"/>
              <w:rPr/>
            </w:pPr>
            <w:r>
              <w:rPr/>
              <w:t xml:space="preserve">  </w:t>
            </w:r>
            <w:r>
              <w:rPr/>
              <w:t>KN Marketing L.P.</w:t>
            </w:r>
          </w:p>
          <w:p>
            <w:pPr>
              <w:pStyle w:val="Normal"/>
              <w:rPr/>
            </w:pPr>
            <w:r>
              <w:rPr/>
            </w:r>
          </w:p>
          <w:p>
            <w:pPr>
              <w:pStyle w:val="Normal"/>
              <w:rPr/>
            </w:pPr>
            <w:r>
              <w:rPr/>
              <w:t xml:space="preserve">                        </w:t>
            </w:r>
            <w:r>
              <w:rPr/>
              <w:t>v.</w:t>
            </w:r>
          </w:p>
          <w:p>
            <w:pPr>
              <w:pStyle w:val="Normal"/>
              <w:rPr/>
            </w:pPr>
            <w:r>
              <w:rPr/>
            </w:r>
          </w:p>
          <w:p>
            <w:pPr>
              <w:pStyle w:val="Normal"/>
              <w:rPr/>
            </w:pPr>
            <w:r>
              <w:rPr/>
              <w:t xml:space="preserve">  </w:t>
            </w:r>
            <w:r>
              <w:rPr/>
              <w:t>El Paso Natural Gas Company</w:t>
            </w:r>
          </w:p>
        </w:tc>
        <w:tc>
          <w:tcPr>
            <w:tcW w:w="540" w:type="dxa"/>
            <w:tcBorders/>
          </w:tcPr>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t xml:space="preserve">)        </w:t>
            </w:r>
          </w:p>
        </w:tc>
        <w:tc>
          <w:tcPr>
            <w:tcW w:w="3420" w:type="dxa"/>
            <w:tcBorders/>
          </w:tcPr>
          <w:p>
            <w:pPr>
              <w:pStyle w:val="Normal"/>
              <w:rPr/>
            </w:pPr>
            <w:r>
              <w:rPr/>
              <w:t>Docket No. RP00-336-000 et al.</w:t>
            </w:r>
          </w:p>
          <w:p>
            <w:pPr>
              <w:pStyle w:val="Normal"/>
              <w:rPr/>
            </w:pPr>
            <w:r>
              <w:rPr/>
            </w:r>
          </w:p>
          <w:p>
            <w:pPr>
              <w:pStyle w:val="Normal"/>
              <w:rPr/>
            </w:pPr>
            <w:r>
              <w:rPr/>
            </w:r>
          </w:p>
          <w:p>
            <w:pPr>
              <w:pStyle w:val="Normal"/>
              <w:rPr/>
            </w:pPr>
            <w:r>
              <w:rPr/>
              <w:t>Docket No. RP00-139-000 et al.</w:t>
            </w:r>
          </w:p>
          <w:p>
            <w:pPr>
              <w:pStyle w:val="Normal"/>
              <w:rPr/>
            </w:pPr>
            <w:r>
              <w:rPr/>
            </w:r>
          </w:p>
          <w:p>
            <w:pPr>
              <w:pStyle w:val="Normal"/>
              <w:rPr/>
            </w:pPr>
            <w:r>
              <w:rPr/>
              <w:t xml:space="preserve">      </w:t>
            </w:r>
          </w:p>
        </w:tc>
      </w:tr>
      <w:tr>
        <w:trPr/>
        <w:tc>
          <w:tcPr>
            <w:tcW w:w="5130" w:type="dxa"/>
            <w:tcBorders/>
          </w:tcPr>
          <w:p>
            <w:pPr>
              <w:pStyle w:val="Normal"/>
              <w:snapToGrid w:val="false"/>
              <w:rPr/>
            </w:pPr>
            <w:r>
              <w:rPr/>
            </w:r>
          </w:p>
          <w:tbl>
            <w:tblPr>
              <w:tblW w:w="5442" w:type="dxa"/>
              <w:jc w:val="start"/>
              <w:tblInd w:w="8" w:type="dxa"/>
              <w:tblLayout w:type="fixed"/>
              <w:tblCellMar>
                <w:top w:w="0" w:type="dxa"/>
                <w:start w:w="108" w:type="dxa"/>
                <w:bottom w:w="0" w:type="dxa"/>
                <w:end w:w="108" w:type="dxa"/>
              </w:tblCellMar>
            </w:tblPr>
            <w:tblGrid>
              <w:gridCol w:w="5442"/>
            </w:tblGrid>
            <w:tr>
              <w:trPr/>
              <w:tc>
                <w:tcPr>
                  <w:tcW w:w="5442" w:type="dxa"/>
                  <w:tcBorders/>
                </w:tcPr>
                <w:p>
                  <w:pPr>
                    <w:pStyle w:val="Normal"/>
                    <w:rPr/>
                  </w:pPr>
                  <w:r>
                    <w:rPr/>
                    <w:t>Aera Energy LLC, et al.</w:t>
                  </w:r>
                </w:p>
                <w:p>
                  <w:pPr>
                    <w:pStyle w:val="Normal"/>
                    <w:rPr/>
                  </w:pPr>
                  <w:r>
                    <w:rPr/>
                  </w:r>
                </w:p>
              </w:tc>
            </w:tr>
            <w:tr>
              <w:trPr/>
              <w:tc>
                <w:tcPr>
                  <w:tcW w:w="5442" w:type="dxa"/>
                  <w:tcBorders/>
                </w:tcPr>
                <w:p>
                  <w:pPr>
                    <w:pStyle w:val="Normal"/>
                    <w:rPr/>
                  </w:pPr>
                  <w:r>
                    <w:rPr/>
                    <w:t xml:space="preserve">                      </w:t>
                  </w:r>
                  <w:r>
                    <w:rPr/>
                    <w:t>v.</w:t>
                  </w:r>
                </w:p>
              </w:tc>
            </w:tr>
            <w:tr>
              <w:trPr/>
              <w:tc>
                <w:tcPr>
                  <w:tcW w:w="5442" w:type="dxa"/>
                  <w:tcBorders/>
                </w:tcPr>
                <w:p>
                  <w:pPr>
                    <w:pStyle w:val="Normal"/>
                    <w:snapToGrid w:val="false"/>
                    <w:rPr/>
                  </w:pPr>
                  <w:r>
                    <w:rPr/>
                  </w:r>
                </w:p>
                <w:p>
                  <w:pPr>
                    <w:pStyle w:val="Normal"/>
                    <w:rPr/>
                  </w:pPr>
                  <w:r>
                    <w:rPr/>
                    <w:t>El Paso Natural Gas Company</w:t>
                  </w:r>
                </w:p>
                <w:p>
                  <w:pPr>
                    <w:pStyle w:val="Normal"/>
                    <w:rPr/>
                  </w:pPr>
                  <w:r>
                    <w:rPr/>
                  </w:r>
                </w:p>
                <w:p>
                  <w:pPr>
                    <w:pStyle w:val="Normal"/>
                    <w:rPr/>
                  </w:pPr>
                  <w:r>
                    <w:rPr/>
                    <w:t>Texas, New Mexico and Arizona Shippers</w:t>
                  </w:r>
                </w:p>
                <w:p>
                  <w:pPr>
                    <w:pStyle w:val="Normal"/>
                    <w:rPr/>
                  </w:pPr>
                  <w:r>
                    <w:rPr/>
                  </w:r>
                </w:p>
                <w:p>
                  <w:pPr>
                    <w:pStyle w:val="Normal"/>
                    <w:rPr/>
                  </w:pPr>
                  <w:r>
                    <w:rPr/>
                    <w:t xml:space="preserve">                      </w:t>
                  </w:r>
                  <w:r>
                    <w:rPr/>
                    <w:t>v.</w:t>
                  </w:r>
                </w:p>
                <w:p>
                  <w:pPr>
                    <w:pStyle w:val="Normal"/>
                    <w:rPr/>
                  </w:pPr>
                  <w:r>
                    <w:rPr/>
                  </w:r>
                </w:p>
                <w:p>
                  <w:pPr>
                    <w:pStyle w:val="Normal"/>
                    <w:rPr/>
                  </w:pPr>
                  <w:r>
                    <w:rPr/>
                    <w:t>El Paso Natural Gas Company</w:t>
                  </w:r>
                </w:p>
              </w:tc>
            </w:tr>
          </w:tbl>
          <w:p>
            <w:pPr>
              <w:pStyle w:val="Normal"/>
              <w:rPr/>
            </w:pPr>
            <w:r>
              <w:rPr/>
            </w:r>
          </w:p>
        </w:tc>
        <w:tc>
          <w:tcPr>
            <w:tcW w:w="540" w:type="dxa"/>
            <w:tcBorders/>
          </w:tcPr>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b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t>)</w:t>
            </w:r>
          </w:p>
          <w:p>
            <w:pPr>
              <w:pStyle w:val="Normal"/>
              <w:jc w:val="center"/>
              <w:rPr/>
            </w:pPr>
            <w:r>
              <w:rPr/>
            </w:r>
          </w:p>
        </w:tc>
        <w:tc>
          <w:tcPr>
            <w:tcW w:w="3420" w:type="dxa"/>
            <w:tcBorders/>
          </w:tcPr>
          <w:p>
            <w:pPr>
              <w:pStyle w:val="Normal"/>
              <w:snapToGrid w:val="false"/>
              <w:rPr/>
            </w:pPr>
            <w:r>
              <w:rPr/>
            </w:r>
          </w:p>
          <w:p>
            <w:pPr>
              <w:pStyle w:val="Normal"/>
              <w:rPr/>
            </w:pPr>
            <w:r>
              <w:rPr/>
            </w:r>
          </w:p>
          <w:p>
            <w:pPr>
              <w:pStyle w:val="Normal"/>
              <w:rPr/>
            </w:pPr>
            <w:r>
              <w:rPr/>
            </w:r>
          </w:p>
          <w:p>
            <w:pPr>
              <w:pStyle w:val="Normal"/>
              <w:rPr/>
            </w:pPr>
            <w:r>
              <w:rPr/>
              <w:t>Docket No. RP01-484-000</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Docket No. RP01-486-000</w:t>
            </w:r>
          </w:p>
          <w:p>
            <w:pPr>
              <w:pStyle w:val="Normal"/>
              <w:rPr/>
            </w:pPr>
            <w:r>
              <w:rPr/>
            </w:r>
          </w:p>
          <w:p>
            <w:pPr>
              <w:pStyle w:val="Normal"/>
              <w:rPr/>
            </w:pPr>
            <w:r>
              <w:rPr/>
              <w:t xml:space="preserve">      </w:t>
            </w:r>
            <w:r>
              <w:rPr/>
              <w:t>(Not Consolidated)</w:t>
            </w:r>
          </w:p>
        </w:tc>
      </w:tr>
      <w:tr>
        <w:trPr/>
        <w:tc>
          <w:tcPr>
            <w:tcW w:w="5130" w:type="dxa"/>
            <w:tcBorders/>
          </w:tcPr>
          <w:p>
            <w:pPr>
              <w:pStyle w:val="Normal"/>
              <w:snapToGrid w:val="false"/>
              <w:jc w:val="center"/>
              <w:rPr/>
            </w:pPr>
            <w:r>
              <w:rPr/>
            </w:r>
          </w:p>
        </w:tc>
        <w:tc>
          <w:tcPr>
            <w:tcW w:w="540" w:type="dxa"/>
            <w:tcBorders/>
          </w:tcPr>
          <w:p>
            <w:pPr>
              <w:pStyle w:val="Normal"/>
              <w:snapToGrid w:val="false"/>
              <w:jc w:val="center"/>
              <w:rPr/>
            </w:pPr>
            <w:r>
              <w:rPr/>
            </w:r>
          </w:p>
        </w:tc>
        <w:tc>
          <w:tcPr>
            <w:tcW w:w="3420" w:type="dxa"/>
            <w:tcBorders/>
          </w:tcPr>
          <w:p>
            <w:pPr>
              <w:pStyle w:val="Normal"/>
              <w:snapToGrid w:val="false"/>
              <w:rPr/>
            </w:pPr>
            <w:r>
              <w:rPr/>
            </w:r>
          </w:p>
        </w:tc>
      </w:tr>
    </w:tbl>
    <w:p>
      <w:pPr>
        <w:pStyle w:val="Normal"/>
        <w:rPr/>
      </w:pPr>
      <w:r>
        <w:rPr/>
      </w:r>
    </w:p>
    <w:p>
      <w:pPr>
        <w:pStyle w:val="Normal"/>
        <w:jc w:val="center"/>
        <w:rPr>
          <w:b/>
        </w:rPr>
      </w:pPr>
      <w:r>
        <w:rPr>
          <w:b/>
        </w:rPr>
      </w:r>
    </w:p>
    <w:p>
      <w:pPr>
        <w:pStyle w:val="Normal"/>
        <w:jc w:val="center"/>
        <w:rPr>
          <w:b/>
        </w:rPr>
      </w:pPr>
      <w:r>
        <w:rPr>
          <w:b/>
        </w:rPr>
        <w:t>MOTION OF SALT RIVER PROJECT FOR ADOPTION OF STRAWMAN ALTERNATIVE TO MARCH 28, 2001 PROPOSAL OF</w:t>
      </w:r>
    </w:p>
    <w:p>
      <w:pPr>
        <w:pStyle w:val="Normal"/>
        <w:jc w:val="center"/>
        <w:rPr>
          <w:b/>
        </w:rPr>
      </w:pPr>
      <w:r>
        <w:rPr>
          <w:b/>
        </w:rPr>
        <w:t xml:space="preserve">EL PASO NATURAL GAS COMPANY </w:t>
      </w:r>
    </w:p>
    <w:p>
      <w:pPr>
        <w:pStyle w:val="Normal"/>
        <w:rPr/>
      </w:pPr>
      <w:r>
        <w:rPr/>
      </w:r>
    </w:p>
    <w:p>
      <w:pPr>
        <w:pStyle w:val="Normal"/>
        <w:spacing w:lineRule="auto" w:line="480"/>
        <w:rPr/>
      </w:pPr>
      <w:r>
        <w:rPr/>
        <w:tab/>
        <w:t xml:space="preserve">Pursuant to Rule 212 of the Rules of Practice and Procedure of the Federal Energy Regulatory Commission (“Commission”), 18 C.F.R. § 385.212 (2000), Salt River Project Agricultural Improvement and Power District (“SRP") respectfully submits this "Strawman Alternative" as a viable and practical alternative to the March 28, 2001 System-wide Allocation Proposal, filed by El Paso Natural Gas Company ("El Paso") in Docket No. RP00-336-000 et al.  This Strawman Alternative is intended to resolve all mainline and receipt capacity allocation issues pending in El Paso Natural Gas Company's ("El Paso's) Order No. 637 proceeding, Docket No. RP00-336, as well as all issues raised by and pending in three complaint cases filed against El Paso by parties representing nearly all of the firm shippers on the system.  </w:t>
      </w:r>
    </w:p>
    <w:p>
      <w:pPr>
        <w:pStyle w:val="Normal"/>
        <w:spacing w:lineRule="auto" w:line="480"/>
        <w:ind w:firstLine="720" w:end="0"/>
        <w:rPr/>
      </w:pPr>
      <w:r>
        <w:rPr/>
        <w:t xml:space="preserve">After months of analysis of El Paso-provided data and reassessment of its proposal presented at the July 18 technical conference, </w:t>
      </w:r>
      <w:r>
        <w:rPr>
          <w:b/>
          <w:bCs/>
        </w:rPr>
        <w:t>SRP has crafted a comprehensive long term solution to the current impasse, which is fair and equitable, implementable, and most importantly, consistent with El Paso's FERC Gas Tariff and the ten-year rate settlement approved in Docket No. RP95-363-000, et al.</w:t>
      </w:r>
      <w:r>
        <w:rPr/>
        <w:t xml:space="preserve"> In developing this Strawman Alternative, SRP was particularly mindful of the concerns with El Paso's March 28 allocation proposal raised in initial and reply comments recently filed in Docket Nos. RP00-336-000 et al.  This proposal addresses those concerns and if approved by the Commission as filed, would avoid the need for lengthy evidentiary hearings and permit El Paso upon implementation to operate as a "traditional" interstate pipeline, once again serving the contractual entitlements and growth needs of its firm shippers.</w:t>
      </w:r>
    </w:p>
    <w:p>
      <w:pPr>
        <w:pStyle w:val="Normal"/>
        <w:spacing w:lineRule="auto" w:line="480"/>
        <w:ind w:firstLine="720" w:end="0"/>
        <w:rPr>
          <w:bCs/>
        </w:rPr>
      </w:pPr>
      <w:r>
        <w:rPr>
          <w:bCs/>
        </w:rPr>
        <w:t>At this critical juncture, when the Commission is seeking to resolve seemingly intractable positions and diverse views of how El Paso's system should operate, SRP has determined that a practical "share-the-pain" solution to this allocation quandary should be considered, one that reflects a compendium of all concerns raised in the above proceedings woven into a workable solution.</w:t>
      </w:r>
      <w:r>
        <w:rPr>
          <w:rStyle w:val="FootnoteCharacters"/>
          <w:rStyle w:val="FootnoteReference"/>
          <w:bCs/>
        </w:rPr>
        <w:footnoteReference w:id="2"/>
      </w:r>
      <w:r>
        <w:rPr>
          <w:bCs/>
        </w:rPr>
        <w:t xml:space="preserve">  SRP has discussed the concepts comprising this Strawman Alternative with El Paso and many of the affected firm shippers, particularly the Full Requirements shippers for whom this proposal has the greatest impact (i.e., requiring conversion from full requirements service to fixed entitlements on par with CD shippers). Based on such discussions, SRP has determined that there is sufficient interest in its proposal to warrant filing of the Strawman Alternative for the Commission's consideration and approval.</w:t>
      </w:r>
      <w:r>
        <w:rPr>
          <w:rStyle w:val="FootnoteCharacters"/>
          <w:rStyle w:val="FootnoteReference"/>
        </w:rPr>
        <w:footnoteReference w:id="3"/>
      </w:r>
    </w:p>
    <w:p>
      <w:pPr>
        <w:pStyle w:val="Normal"/>
        <w:spacing w:lineRule="auto" w:line="480"/>
        <w:ind w:firstLine="720" w:end="0"/>
        <w:rPr/>
      </w:pPr>
      <w:r>
        <w:rPr>
          <w:bCs/>
        </w:rPr>
        <w:t xml:space="preserve">Like El Paso's March 28 allocation proposal, SRP's Strawman Alternative is conceptual in nature, and recognizes that implementation of its terms would necessitate conforming modifications to the General Terms and Conditions of El Paso's Tariff, a task that SRP is willing to undertake at the appropriate time.  </w:t>
      </w:r>
      <w:r>
        <w:rPr>
          <w:b/>
        </w:rPr>
        <w:t>Given the period of uncertainty that has plagued the El Paso system, SRP would prefer to see the Commission immediately take steps to  "restore order to a pipeline system that is currently completely dysfunctional" (Indicated Shippers Reply Comments at p. 1), and to that end submits that the Strawman Alternative should be adopted as the basis for a merits decision in these proceedings.</w:t>
      </w:r>
    </w:p>
    <w:p>
      <w:pPr>
        <w:pStyle w:val="Normal"/>
        <w:spacing w:lineRule="auto" w:line="480"/>
        <w:ind w:firstLine="720" w:end="0"/>
        <w:rPr>
          <w:bCs/>
        </w:rPr>
      </w:pPr>
      <w:r>
        <w:rPr>
          <w:bCs/>
        </w:rPr>
        <w:t xml:space="preserve">Though SRP submits that the Strawman Alternative is ripe for adoption, SRP recognizes that despite its efforts to address shipper concerns and disseminate the underlying concepts of its proposal in advance of filing (including face to face meetings with key parties, including El Paso), there may be questions concerning its impact and implementation, questions to which SRP and its consultants stand ready to respond.  To that end, SRP suggests several procedural alternatives for the Commission's consideration should it believe that the Strawman Alternative requires further scrutiny: (1) establishment of an expedited period for informal discovery directed solely to the Strawman Alternative, followed by initial and reply comments limited to ascertaining shipper/state commission positions thereon; (2) immediate establishment of a technical conference for the limited purpose of presenting the Strawman Alternative, followed by the steps outlined in (1) above; (3) consolidation of the captioned proceedings solely for the purpose of settlement discussions pursuant to Rule 602, treatment of the Strawman Alternative as an offer of settlement, and establishment of a finite Commission-imposed deadline for the parties to reach settlement.  </w:t>
      </w:r>
    </w:p>
    <w:p>
      <w:pPr>
        <w:pStyle w:val="Normal"/>
        <w:spacing w:lineRule="auto" w:line="480"/>
        <w:ind w:firstLine="720" w:end="0"/>
        <w:rPr>
          <w:bCs/>
        </w:rPr>
      </w:pPr>
      <w:r>
        <w:rPr>
          <w:bCs/>
        </w:rPr>
        <w:t xml:space="preserve">This Strawman Alternative is comprised of 4 sections.  Section I sets forth the guiding principles upon which the Strawman Alternative rests.  Section II sets forth the elements of the Mainline Capacity Allocation Methodology.  Section III discusses how the Strawman Alternative effectively addresses the salient concerns raised by firm shippers in the pending proceedings. Section IV includes supporting materials illustrative of the methodologies proposed. All documents referenced as "Attachments" in the discussion which follows, are listed in Section IV and attached to this pleading. </w:t>
      </w:r>
    </w:p>
    <w:p>
      <w:pPr>
        <w:pStyle w:val="BodyTextIndent"/>
        <w:rPr/>
      </w:pPr>
      <w:r>
        <w:rPr/>
        <w:t>SRP is an active party in each of the above-captioned proceedings. All correspondence or communication concerning this Strawman Alternative should be addressed to the following individuals:</w:t>
      </w:r>
    </w:p>
    <w:p>
      <w:pPr>
        <w:pStyle w:val="Footer"/>
        <w:tabs>
          <w:tab w:val="clear" w:pos="4320"/>
          <w:tab w:val="clear" w:pos="8640"/>
        </w:tabs>
        <w:ind w:firstLine="720" w:start="2880" w:end="0"/>
        <w:rPr/>
      </w:pPr>
      <w:r>
        <w:rPr/>
        <w:t>Diane McVicker</w:t>
      </w:r>
    </w:p>
    <w:p>
      <w:pPr>
        <w:pStyle w:val="Normal"/>
        <w:ind w:firstLine="720" w:start="2880" w:end="0"/>
        <w:rPr/>
      </w:pPr>
      <w:r>
        <w:rPr/>
        <w:t>Principal Analyst</w:t>
      </w:r>
    </w:p>
    <w:p>
      <w:pPr>
        <w:pStyle w:val="Normal"/>
        <w:ind w:firstLine="720" w:start="2880" w:end="0"/>
        <w:rPr/>
      </w:pPr>
      <w:r>
        <w:rPr/>
        <w:t>Salt River Project</w:t>
      </w:r>
    </w:p>
    <w:p>
      <w:pPr>
        <w:pStyle w:val="Normal"/>
        <w:ind w:firstLine="720" w:start="2880" w:end="0"/>
        <w:rPr/>
      </w:pPr>
      <w:r>
        <w:rPr/>
        <w:t>Mail Station POB001</w:t>
      </w:r>
    </w:p>
    <w:p>
      <w:pPr>
        <w:pStyle w:val="Normal"/>
        <w:ind w:firstLine="720" w:start="2880" w:end="0"/>
        <w:rPr/>
      </w:pPr>
      <w:r>
        <w:rPr/>
        <w:t>6504 E. Thomas Road</w:t>
      </w:r>
    </w:p>
    <w:p>
      <w:pPr>
        <w:pStyle w:val="Normal"/>
        <w:ind w:firstLine="720" w:start="2880" w:end="0"/>
        <w:rPr/>
      </w:pPr>
      <w:r>
        <w:rPr/>
        <w:t>Scottsdale, Arizona  85251</w:t>
      </w:r>
    </w:p>
    <w:p>
      <w:pPr>
        <w:pStyle w:val="Normal"/>
        <w:ind w:firstLine="720" w:start="2880" w:end="0"/>
        <w:rPr/>
      </w:pPr>
      <w:r>
        <w:rPr/>
        <w:t>(602) 236-4315</w:t>
      </w:r>
    </w:p>
    <w:p>
      <w:pPr>
        <w:pStyle w:val="Normal"/>
        <w:ind w:firstLine="720" w:start="2880" w:end="0"/>
        <w:rPr/>
      </w:pPr>
      <w:r>
        <w:rPr/>
        <w:t>dbmcvick@srpnet.com</w:t>
      </w:r>
    </w:p>
    <w:p>
      <w:pPr>
        <w:pStyle w:val="Normal"/>
        <w:rPr/>
      </w:pPr>
      <w:r>
        <w:rPr/>
      </w:r>
    </w:p>
    <w:p>
      <w:pPr>
        <w:pStyle w:val="Normal"/>
        <w:tabs>
          <w:tab w:val="clear" w:pos="720"/>
          <w:tab w:val="left" w:pos="90" w:leader="none"/>
          <w:tab w:val="left" w:pos="3240" w:leader="none"/>
        </w:tabs>
        <w:rPr/>
      </w:pPr>
      <w:r>
        <w:rPr/>
        <w:tab/>
        <w:tab/>
        <w:tab/>
        <w:t>Joel L. Greene, Esq.</w:t>
      </w:r>
    </w:p>
    <w:p>
      <w:pPr>
        <w:pStyle w:val="Normal"/>
        <w:tabs>
          <w:tab w:val="clear" w:pos="720"/>
          <w:tab w:val="left" w:pos="90" w:leader="none"/>
          <w:tab w:val="left" w:pos="3240" w:leader="none"/>
        </w:tabs>
        <w:rPr/>
      </w:pPr>
      <w:r>
        <w:rPr/>
        <w:tab/>
        <w:tab/>
        <w:tab/>
        <w:t>Energy Advocates LLP</w:t>
      </w:r>
    </w:p>
    <w:p>
      <w:pPr>
        <w:pStyle w:val="Normal"/>
        <w:tabs>
          <w:tab w:val="clear" w:pos="720"/>
          <w:tab w:val="left" w:pos="90" w:leader="none"/>
          <w:tab w:val="left" w:pos="3240" w:leader="none"/>
        </w:tabs>
        <w:rPr/>
      </w:pPr>
      <w:r>
        <w:rPr/>
        <w:tab/>
        <w:tab/>
        <w:tab/>
        <w:t>1500 K Street, N.W.</w:t>
      </w:r>
    </w:p>
    <w:p>
      <w:pPr>
        <w:pStyle w:val="Normal"/>
        <w:tabs>
          <w:tab w:val="clear" w:pos="720"/>
          <w:tab w:val="left" w:pos="90" w:leader="none"/>
          <w:tab w:val="left" w:pos="3240" w:leader="none"/>
        </w:tabs>
        <w:rPr/>
      </w:pPr>
      <w:r>
        <w:rPr/>
        <w:tab/>
        <w:tab/>
        <w:tab/>
        <w:t>Suite 330</w:t>
      </w:r>
    </w:p>
    <w:p>
      <w:pPr>
        <w:pStyle w:val="Normal"/>
        <w:tabs>
          <w:tab w:val="clear" w:pos="720"/>
          <w:tab w:val="left" w:pos="90" w:leader="none"/>
          <w:tab w:val="left" w:pos="3240" w:leader="none"/>
        </w:tabs>
        <w:rPr/>
      </w:pPr>
      <w:r>
        <w:rPr/>
        <w:tab/>
        <w:tab/>
        <w:tab/>
        <w:t>Washington, D.C.  20005</w:t>
      </w:r>
    </w:p>
    <w:p>
      <w:pPr>
        <w:pStyle w:val="Normal"/>
        <w:ind w:firstLine="720" w:start="2880" w:end="0"/>
        <w:rPr/>
      </w:pPr>
      <w:r>
        <w:rPr/>
        <w:t>(202) 371-9889</w:t>
      </w:r>
    </w:p>
    <w:p>
      <w:pPr>
        <w:pStyle w:val="Normal"/>
        <w:ind w:firstLine="720" w:start="2880" w:end="0"/>
        <w:rPr/>
      </w:pPr>
      <w:r>
        <w:rPr/>
        <w:t>jlgreene@energyadvocates.com</w:t>
      </w:r>
    </w:p>
    <w:p>
      <w:pPr>
        <w:pStyle w:val="Normal"/>
        <w:ind w:firstLine="720" w:start="2880" w:end="0"/>
        <w:rPr/>
      </w:pPr>
      <w:r>
        <w:rPr/>
      </w:r>
    </w:p>
    <w:p>
      <w:pPr>
        <w:pStyle w:val="Normal"/>
        <w:ind w:firstLine="720" w:start="2880" w:end="0"/>
        <w:rPr/>
      </w:pPr>
      <w:r>
        <w:rPr/>
        <w:t>Greg Lander</w:t>
      </w:r>
    </w:p>
    <w:p>
      <w:pPr>
        <w:pStyle w:val="Normal"/>
        <w:ind w:firstLine="720" w:start="2880" w:end="0"/>
        <w:rPr/>
      </w:pPr>
      <w:r>
        <w:rPr/>
        <w:t>Skipping Stone</w:t>
      </w:r>
    </w:p>
    <w:p>
      <w:pPr>
        <w:pStyle w:val="Normal"/>
        <w:ind w:firstLine="720" w:start="2880" w:end="0"/>
        <w:rPr/>
      </w:pPr>
      <w:r>
        <w:rPr/>
        <w:t>83 Pine, Suite 101</w:t>
      </w:r>
    </w:p>
    <w:p>
      <w:pPr>
        <w:pStyle w:val="Normal"/>
        <w:ind w:firstLine="720" w:start="2880" w:end="0"/>
        <w:rPr/>
      </w:pPr>
      <w:r>
        <w:rPr/>
        <w:t>West Peabody, MA  01960</w:t>
      </w:r>
    </w:p>
    <w:p>
      <w:pPr>
        <w:pStyle w:val="Normal"/>
        <w:ind w:firstLine="720" w:start="2880" w:end="0"/>
        <w:rPr/>
      </w:pPr>
      <w:r>
        <w:rPr/>
        <w:t>(978) 535-7500</w:t>
      </w:r>
    </w:p>
    <w:p>
      <w:pPr>
        <w:pStyle w:val="Normal"/>
        <w:ind w:firstLine="720" w:start="2880" w:end="0"/>
        <w:rPr>
          <w:b/>
          <w:bCs/>
        </w:rPr>
      </w:pPr>
      <w:r>
        <w:rPr/>
        <w:t>glander@skippingstone.com</w:t>
      </w:r>
    </w:p>
    <w:p>
      <w:pPr>
        <w:pStyle w:val="Normal"/>
        <w:jc w:val="center"/>
        <w:rPr>
          <w:b/>
          <w:bCs/>
        </w:rPr>
      </w:pPr>
      <w:r>
        <w:rPr>
          <w:b/>
          <w:bCs/>
        </w:rPr>
      </w:r>
    </w:p>
    <w:p>
      <w:pPr>
        <w:pStyle w:val="Normal"/>
        <w:rPr>
          <w:rFonts w:ascii="Arial Black" w:hAnsi="Arial Black" w:cs="Arial Black"/>
          <w:b/>
          <w:bCs/>
          <w:i/>
          <w:i/>
          <w:iCs/>
          <w:sz w:val="16"/>
        </w:rPr>
      </w:pPr>
      <w:r>
        <w:rPr>
          <w:rFonts w:cs="Arial Black" w:ascii="Arial Black" w:hAnsi="Arial Black"/>
          <w:b/>
          <w:bCs/>
          <w:i/>
          <w:iCs/>
          <w:sz w:val="16"/>
        </w:rPr>
      </w:r>
    </w:p>
    <w:p>
      <w:pPr>
        <w:pStyle w:val="Normal"/>
        <w:jc w:val="center"/>
        <w:rPr>
          <w:b/>
          <w:bCs/>
        </w:rPr>
      </w:pPr>
      <w:r>
        <w:rPr>
          <w:b/>
          <w:bCs/>
        </w:rPr>
        <w:t>I.</w:t>
      </w:r>
    </w:p>
    <w:p>
      <w:pPr>
        <w:pStyle w:val="Normal"/>
        <w:jc w:val="center"/>
        <w:rPr>
          <w:b/>
          <w:bCs/>
        </w:rPr>
      </w:pPr>
      <w:r>
        <w:rPr>
          <w:b/>
          <w:bCs/>
        </w:rPr>
      </w:r>
    </w:p>
    <w:p>
      <w:pPr>
        <w:pStyle w:val="Normal"/>
        <w:rPr>
          <w:rFonts w:ascii="Arial Black" w:hAnsi="Arial Black" w:cs="Arial Black"/>
          <w:i/>
          <w:i/>
          <w:iCs/>
          <w:sz w:val="16"/>
        </w:rPr>
      </w:pPr>
      <w:r>
        <w:rPr>
          <w:rFonts w:cs="Arial Black" w:ascii="Arial Black" w:hAnsi="Arial Black"/>
          <w:i/>
          <w:iCs/>
          <w:sz w:val="16"/>
        </w:rPr>
        <w:t>…</w:t>
      </w:r>
      <w:r>
        <w:rPr>
          <w:rFonts w:cs="Arial Black" w:ascii="Arial Black" w:hAnsi="Arial Black"/>
          <w:i/>
          <w:iCs/>
          <w:sz w:val="16"/>
        </w:rPr>
        <w:t>there is nothing more difficult to carry out, nor more doubtful of success, nor more dangerous to handle than to initiate a new order of things.  For the reformer has enemies from all those who profit by the old order, and only lukewarm defenders in all those who would profit by the new order, this lukewarmness arising partly from their fear of their adversaries, who have laws in their favor, and partly from the incredulity of mankind, who do not truly believe in anything new until they have actual experience of it.</w:t>
      </w:r>
    </w:p>
    <w:p>
      <w:pPr>
        <w:pStyle w:val="Normal"/>
        <w:rPr>
          <w:rFonts w:ascii="Arial Black" w:hAnsi="Arial Black" w:cs="Arial Black"/>
          <w:i/>
          <w:i/>
          <w:iCs/>
          <w:sz w:val="16"/>
        </w:rPr>
      </w:pPr>
      <w:r>
        <w:rPr>
          <w:rFonts w:cs="Arial Black" w:ascii="Arial Black" w:hAnsi="Arial Black"/>
          <w:i/>
          <w:iCs/>
          <w:sz w:val="16"/>
        </w:rPr>
      </w:r>
    </w:p>
    <w:p>
      <w:pPr>
        <w:pStyle w:val="Normal"/>
        <w:rPr>
          <w:b/>
          <w:bCs/>
        </w:rPr>
      </w:pPr>
      <w:r>
        <w:rPr>
          <w:rFonts w:cs="Arial Black" w:ascii="Arial Black" w:hAnsi="Arial Black"/>
        </w:rPr>
        <w:tab/>
        <w:tab/>
        <w:tab/>
        <w:tab/>
        <w:tab/>
        <w:tab/>
      </w:r>
      <w:r>
        <w:rPr>
          <w:rFonts w:cs="Arial Black" w:ascii="Arial Black" w:hAnsi="Arial Black"/>
          <w:sz w:val="20"/>
        </w:rPr>
        <w:t>Machiavelli, The Prince, 1532</w:t>
      </w:r>
    </w:p>
    <w:p>
      <w:pPr>
        <w:pStyle w:val="Normal"/>
        <w:jc w:val="center"/>
        <w:rPr>
          <w:b/>
          <w:bCs/>
        </w:rPr>
      </w:pPr>
      <w:r>
        <w:rPr>
          <w:b/>
          <w:bCs/>
        </w:rPr>
      </w:r>
    </w:p>
    <w:p>
      <w:pPr>
        <w:pStyle w:val="Normal"/>
        <w:jc w:val="center"/>
        <w:rPr>
          <w:b/>
          <w:bCs/>
        </w:rPr>
      </w:pPr>
      <w:r>
        <w:rPr>
          <w:b/>
          <w:bCs/>
        </w:rPr>
      </w:r>
    </w:p>
    <w:p>
      <w:pPr>
        <w:pStyle w:val="Normal"/>
        <w:jc w:val="center"/>
        <w:rPr/>
      </w:pPr>
      <w:r>
        <w:rPr>
          <w:b/>
          <w:bCs/>
        </w:rPr>
        <w:t>GUIDING PRINCIPLES OF STRAWMAN ALTERNATIVE</w:t>
      </w:r>
      <w:r>
        <w:rPr/>
        <w:tab/>
      </w:r>
    </w:p>
    <w:p>
      <w:pPr>
        <w:pStyle w:val="Normal"/>
        <w:rPr/>
      </w:pPr>
      <w:r>
        <w:rPr/>
      </w:r>
    </w:p>
    <w:p>
      <w:pPr>
        <w:pStyle w:val="Normal"/>
        <w:numPr>
          <w:ilvl w:val="0"/>
          <w:numId w:val="4"/>
        </w:numPr>
        <w:spacing w:before="0" w:after="120"/>
        <w:rPr/>
      </w:pPr>
      <w:r>
        <w:rPr/>
        <w:t>A conceptual framework is presented for a Commission decision resolving issues pending in the following El Paso proceedings:  Docket Nos. RP99-507 (Indicated Shippers' Complaint), RP00-336 (Order No. 637, pathing/segmentation and associated receipt capacity allocation and pooling issues only), RP99-139 (ONEOK Complaint), RP01-484 (Indicated Shippers/California Complaint), and RP01-486 (Texas, New Mexico and Arizona Shippers' Complaint).</w:t>
      </w:r>
    </w:p>
    <w:p>
      <w:pPr>
        <w:pStyle w:val="Normal"/>
        <w:numPr>
          <w:ilvl w:val="0"/>
          <w:numId w:val="4"/>
        </w:numPr>
        <w:spacing w:before="0" w:after="120"/>
        <w:rPr/>
      </w:pPr>
      <w:r>
        <w:rPr/>
        <w:t>Eliminates the nucleus of the problem on EPNG’s system, namely, the uncertainty of firm transportation.</w:t>
      </w:r>
    </w:p>
    <w:p>
      <w:pPr>
        <w:pStyle w:val="Normal"/>
        <w:numPr>
          <w:ilvl w:val="0"/>
          <w:numId w:val="4"/>
        </w:numPr>
        <w:spacing w:before="0" w:after="120"/>
        <w:rPr/>
      </w:pPr>
      <w:r>
        <w:rPr/>
        <w:t>Shares the pain of shortfall in mainline capacity among El Paso, Full Requirements (FR) shippers, and Contract Demand (CD) shippers.  Single basin shippers share in shortfall as well.</w:t>
      </w:r>
    </w:p>
    <w:p>
      <w:pPr>
        <w:pStyle w:val="Normal"/>
        <w:numPr>
          <w:ilvl w:val="0"/>
          <w:numId w:val="4"/>
        </w:numPr>
        <w:spacing w:before="0" w:after="120"/>
        <w:rPr/>
      </w:pPr>
      <w:r>
        <w:rPr/>
        <w:t xml:space="preserve">FR shippers convert permanently to </w:t>
      </w:r>
      <w:r>
        <w:rPr>
          <w:u w:val="single"/>
        </w:rPr>
        <w:t>seasonal</w:t>
      </w:r>
      <w:r>
        <w:rPr/>
        <w:t xml:space="preserve"> entitlements at a level based upon their historic reliance on the system, weighted toward the present. This is their contractual entitlement or Primary Delivery Capacity designation for each season, the equivalent of a CD.</w:t>
      </w:r>
    </w:p>
    <w:p>
      <w:pPr>
        <w:pStyle w:val="Normal"/>
        <w:numPr>
          <w:ilvl w:val="0"/>
          <w:numId w:val="4"/>
        </w:numPr>
        <w:spacing w:before="0" w:after="120"/>
        <w:rPr/>
      </w:pPr>
      <w:r>
        <w:rPr/>
        <w:t>Based on the Physical Mainline Capacity (including Line 2000) of the system, and without any additional construction, every FT shipper receives 93.1% (winter) and 94.2% (summer) of their contractual entitlement or Primary Delivery Capacity on a reliable basis, a significantly higher percentage of reliability than any other alternative presented in these proceedings.</w:t>
      </w:r>
    </w:p>
    <w:p>
      <w:pPr>
        <w:pStyle w:val="Normal"/>
        <w:numPr>
          <w:ilvl w:val="0"/>
          <w:numId w:val="4"/>
        </w:numPr>
        <w:spacing w:before="0" w:after="120"/>
        <w:rPr/>
      </w:pPr>
      <w:r>
        <w:rPr/>
        <w:t xml:space="preserve">In addition, on a daily basis all Westward FT shippers are assured of receiving approximately 60% of their 93.1 to 94.2% allocation of mainline capacity from the San Juan.  </w:t>
      </w:r>
    </w:p>
    <w:p>
      <w:pPr>
        <w:pStyle w:val="Normal"/>
        <w:numPr>
          <w:ilvl w:val="0"/>
          <w:numId w:val="4"/>
        </w:numPr>
        <w:spacing w:before="0" w:after="120"/>
        <w:rPr/>
      </w:pPr>
      <w:r>
        <w:rPr/>
        <w:t>El Paso's smaller FT-2 shippers would continue to be served "off the top" in the scheduling process.  A small amount of capacity in the allocation process would be identified (for certainty purposes) and reserved for their use.</w:t>
      </w:r>
    </w:p>
    <w:p>
      <w:pPr>
        <w:pStyle w:val="Normal"/>
        <w:numPr>
          <w:ilvl w:val="0"/>
          <w:numId w:val="4"/>
        </w:numPr>
        <w:spacing w:before="0" w:after="120"/>
        <w:rPr/>
      </w:pPr>
      <w:r>
        <w:rPr/>
        <w:t xml:space="preserve">El Paso will continue to agree to promptly bring into service the 230 MMCF of Line 2000 capacity.  While there is still a shortfall in mainline capacity, El Paso retains the </w:t>
      </w:r>
      <w:r>
        <w:rPr>
          <w:u w:val="single"/>
        </w:rPr>
        <w:t>option</w:t>
      </w:r>
      <w:r>
        <w:rPr/>
        <w:t xml:space="preserve"> to construct additional mainline facilities, but only after soliciting turn back capacity from its shippers and utilizing any capacity turned back to meet shortfall in firm requirements.</w:t>
      </w:r>
    </w:p>
    <w:p>
      <w:pPr>
        <w:pStyle w:val="Normal"/>
        <w:numPr>
          <w:ilvl w:val="0"/>
          <w:numId w:val="4"/>
        </w:numPr>
        <w:spacing w:before="0" w:after="120"/>
        <w:rPr/>
      </w:pPr>
      <w:r>
        <w:rPr/>
        <w:t>El Paso will provide reservation charge credits to the extent unable to serve a shipper's Primary Delivery Capacity.</w:t>
      </w:r>
    </w:p>
    <w:p>
      <w:pPr>
        <w:pStyle w:val="Normal"/>
        <w:numPr>
          <w:ilvl w:val="0"/>
          <w:numId w:val="4"/>
        </w:numPr>
        <w:spacing w:before="0" w:after="120"/>
        <w:rPr/>
      </w:pPr>
      <w:r>
        <w:rPr/>
        <w:t>In order to assist shippers to obtain their Primary Delivery Capacity, every primary delivery point may also serve as a receipt point into El Paso's system, with commodity rates that are the mirror of currently effective commodity rates between zones, and, for scheduling purposes, that assigns a priority for Alternate Receipt to Primary Delivery (over Primary Receipt to Alternate Delivery).  This should enhance supplemental supply markets to meet peak needs and limit El Paso's exposure to paying reservation charge credits.</w:t>
      </w:r>
    </w:p>
    <w:p>
      <w:pPr>
        <w:pStyle w:val="Normal"/>
        <w:numPr>
          <w:ilvl w:val="0"/>
          <w:numId w:val="4"/>
        </w:numPr>
        <w:spacing w:before="0" w:after="120"/>
        <w:rPr/>
      </w:pPr>
      <w:r>
        <w:rPr/>
        <w:t>Shippers may segment their capacity into minimum north and south system "primary" receipt point rights (Minimum Basin Entitlements) at Cornudas and Window Rock, the sum of which may not exceed their overall mainline rights.</w:t>
      </w:r>
    </w:p>
    <w:p>
      <w:pPr>
        <w:pStyle w:val="Normal"/>
        <w:numPr>
          <w:ilvl w:val="0"/>
          <w:numId w:val="4"/>
        </w:numPr>
        <w:spacing w:before="0" w:after="120"/>
        <w:rPr/>
      </w:pPr>
      <w:r>
        <w:rPr/>
        <w:t>All firm shippers continue to pay what they negotiated for as part of the ten-year settlement or since that time.</w:t>
      </w:r>
    </w:p>
    <w:p>
      <w:pPr>
        <w:pStyle w:val="Normal"/>
        <w:numPr>
          <w:ilvl w:val="0"/>
          <w:numId w:val="4"/>
        </w:numPr>
        <w:spacing w:before="0" w:after="120"/>
        <w:rPr/>
      </w:pPr>
      <w:r>
        <w:rPr/>
        <w:t xml:space="preserve">No assumptions are made with respect to the sufficiency of mainline capacity to support El Paso's </w:t>
      </w:r>
      <w:r>
        <w:rPr>
          <w:u w:val="single"/>
        </w:rPr>
        <w:t>eastward</w:t>
      </w:r>
      <w:r>
        <w:rPr/>
        <w:t xml:space="preserve"> FT capacity obligations.</w:t>
      </w:r>
    </w:p>
    <w:p>
      <w:pPr>
        <w:pStyle w:val="Normal"/>
        <w:numPr>
          <w:ilvl w:val="0"/>
          <w:numId w:val="4"/>
        </w:numPr>
        <w:spacing w:before="0" w:after="120"/>
        <w:rPr/>
      </w:pPr>
      <w:r>
        <w:rPr/>
        <w:t>For purposes of resolving receipt point allocation and pooling, this Strawman Alternative adopts the in-line pooling methodology set forth in the Initial Comments of Southern California Gas Company (SoCal Gas) filed October 15, 2001 in Docket Nos. RP00-336-000 et al.</w:t>
      </w:r>
      <w:r>
        <w:br w:type="page"/>
      </w:r>
    </w:p>
    <w:p>
      <w:pPr>
        <w:pStyle w:val="Normal"/>
        <w:spacing w:before="0" w:after="120"/>
        <w:jc w:val="center"/>
        <w:rPr>
          <w:b/>
          <w:bCs/>
        </w:rPr>
      </w:pPr>
      <w:r>
        <w:rPr>
          <w:b/>
          <w:bCs/>
        </w:rPr>
        <w:t>II.</w:t>
      </w:r>
    </w:p>
    <w:p>
      <w:pPr>
        <w:pStyle w:val="Normal"/>
        <w:spacing w:before="0" w:after="120"/>
        <w:jc w:val="center"/>
        <w:rPr>
          <w:b/>
          <w:bCs/>
        </w:rPr>
      </w:pPr>
      <w:r>
        <w:rPr>
          <w:b/>
          <w:bCs/>
        </w:rPr>
        <w:t>ELEMENTS OF MAINLINE CAPACITY ALLOCATION METHODOLOGY</w:t>
      </w:r>
    </w:p>
    <w:p>
      <w:pPr>
        <w:pStyle w:val="Normal"/>
        <w:spacing w:before="0" w:after="120"/>
        <w:rPr>
          <w:b/>
          <w:bCs/>
        </w:rPr>
      </w:pPr>
      <w:r>
        <w:rPr>
          <w:b/>
          <w:bCs/>
        </w:rPr>
      </w:r>
    </w:p>
    <w:p>
      <w:pPr>
        <w:pStyle w:val="Normal"/>
        <w:numPr>
          <w:ilvl w:val="0"/>
          <w:numId w:val="2"/>
        </w:numPr>
        <w:spacing w:before="0" w:after="120"/>
        <w:rPr/>
      </w:pPr>
      <w:r>
        <w:rPr>
          <w:b/>
          <w:bCs/>
        </w:rPr>
        <w:t xml:space="preserve">Applicability - </w:t>
      </w:r>
      <w:r>
        <w:rPr/>
        <w:t>Covers FT shippers with contracts entered into prior to May 1, 2001, which provide for service commencing on or before April 1, 2002.</w:t>
      </w:r>
    </w:p>
    <w:p>
      <w:pPr>
        <w:pStyle w:val="Normal"/>
        <w:numPr>
          <w:ilvl w:val="0"/>
          <w:numId w:val="2"/>
        </w:numPr>
        <w:spacing w:before="0" w:after="120"/>
        <w:rPr/>
      </w:pPr>
      <w:r>
        <w:rPr>
          <w:b/>
          <w:bCs/>
        </w:rPr>
        <w:t xml:space="preserve">CD Shippers rights defined - </w:t>
      </w:r>
      <w:r>
        <w:rPr/>
        <w:t>The contractual entitlement or Primary Delivery Capacity for CD shippers is their Maximum Daily Quantity (MDQ).</w:t>
      </w:r>
    </w:p>
    <w:p>
      <w:pPr>
        <w:pStyle w:val="Normal"/>
        <w:numPr>
          <w:ilvl w:val="0"/>
          <w:numId w:val="2"/>
        </w:numPr>
        <w:spacing w:before="0" w:after="120"/>
        <w:rPr/>
      </w:pPr>
      <w:r>
        <w:rPr>
          <w:b/>
          <w:bCs/>
        </w:rPr>
        <w:t xml:space="preserve">FR Shippers rights defined - </w:t>
      </w:r>
      <w:r>
        <w:rPr/>
        <w:t xml:space="preserve">FR shippers convert to </w:t>
      </w:r>
      <w:r>
        <w:rPr>
          <w:u w:val="single"/>
        </w:rPr>
        <w:t>seasonal</w:t>
      </w:r>
      <w:r>
        <w:rPr/>
        <w:t xml:space="preserve"> CD entitlements at a level based upon their historic reliance on the system, weighted toward the present (</w:t>
      </w:r>
      <w:r>
        <w:rPr>
          <w:i/>
          <w:iCs/>
        </w:rPr>
        <w:t>See</w:t>
      </w:r>
      <w:r>
        <w:rPr/>
        <w:t xml:space="preserve"> Attachment 1 hereto for Explanation of Mainline Capacity Allocation Methodology utilizing El Paso studies 5a, 5b, 6a, 6b).</w:t>
      </w:r>
      <w:r>
        <w:rPr>
          <w:rStyle w:val="FootnoteCharacters"/>
          <w:rStyle w:val="FootnoteReference"/>
        </w:rPr>
        <w:footnoteReference w:id="4"/>
      </w:r>
      <w:r>
        <w:rPr/>
        <w:t xml:space="preserve"> Conversion is intended to survive beyond the ten-year settlement; TSAs to be modified as necessary.  </w:t>
      </w:r>
    </w:p>
    <w:p>
      <w:pPr>
        <w:pStyle w:val="Normal"/>
        <w:numPr>
          <w:ilvl w:val="0"/>
          <w:numId w:val="2"/>
        </w:numPr>
        <w:spacing w:before="0" w:after="120"/>
        <w:rPr/>
      </w:pPr>
      <w:r>
        <w:rPr>
          <w:b/>
          <w:bCs/>
        </w:rPr>
        <w:t>Methodology - Allocated Contractual Capacity is equal to the Physical Mainline Capacity of the system</w:t>
      </w:r>
      <w:r>
        <w:rPr/>
        <w:t>. First, Total Westward Mainline Physical Capacity from the Cornudas and Window Rock constraint points is calculated. Second, relative percentages of Northern and Southern Mainline Physical Capacity are calculated. Third, that portion of the Southern Mainline Physical Capacity reserved for those Westward CD shippers with "Single Basin" Receipt Rights is calculated.  Finally, the percentage of Northern and Southern Mainline Capacity that each Westward FT Shipper would be allocated is calculated as a percentage of their individual Mainline Capacities. (</w:t>
      </w:r>
      <w:r>
        <w:rPr>
          <w:i/>
          <w:iCs/>
        </w:rPr>
        <w:t>See</w:t>
      </w:r>
      <w:r>
        <w:rPr/>
        <w:t xml:space="preserve"> Attachments 2-8 for all associated calculations, and Attachment 11 which applies the Allocation Methodology to a hypothetical firm shipper.</w:t>
      </w:r>
      <w:r>
        <w:rPr>
          <w:rStyle w:val="FootnoteCharacters"/>
          <w:rStyle w:val="FootnoteReference"/>
        </w:rPr>
        <w:footnoteReference w:id="5"/>
      </w:r>
    </w:p>
    <w:p>
      <w:pPr>
        <w:pStyle w:val="Normal"/>
        <w:numPr>
          <w:ilvl w:val="0"/>
          <w:numId w:val="2"/>
        </w:numPr>
        <w:spacing w:before="0" w:after="120"/>
        <w:rPr/>
      </w:pPr>
      <w:r>
        <w:rPr>
          <w:b/>
          <w:bCs/>
        </w:rPr>
        <w:t xml:space="preserve">Shortfall Defined - </w:t>
      </w:r>
      <w:r>
        <w:rPr/>
        <w:t>The difference between the Total Westward FT Mainline Capacity by season and the Total Westward Mainline Physical Capacity is the Winter and the Summer Westward Mainline Capacity Shortfall, respectively. By identifying the difference between the Westward Capacity obligations of El Paso and the current Westward Mainline Physical Capacity, then representing this as a percentage which is applied to all shippers' MDQ's, the shortfall is shared equally and non-preferentially among all FT shippers.  As set forth in Attachment 5 hereto, the</w:t>
      </w:r>
      <w:r>
        <w:rPr>
          <w:b/>
          <w:bCs/>
        </w:rPr>
        <w:t xml:space="preserve"> Winter Westward Mainline Capacity Shortfall is 5.8%, and the Summer Westward Mainline Capacity Shortfall is 6.9%.</w:t>
      </w:r>
    </w:p>
    <w:p>
      <w:pPr>
        <w:pStyle w:val="Normal"/>
        <w:numPr>
          <w:ilvl w:val="0"/>
          <w:numId w:val="2"/>
        </w:numPr>
        <w:spacing w:before="0" w:after="120"/>
        <w:rPr/>
      </w:pPr>
      <w:r>
        <w:rPr>
          <w:b/>
          <w:bCs/>
        </w:rPr>
        <w:t>Shortfall Makeup Must Trump New Service - Until there is no longer any unsatisfied eastward or westward Mainline and Receipt Capacity for any FT shipper relative to their Primary Daily Delivery Capacity: (</w:t>
      </w:r>
      <w:r>
        <w:rPr/>
        <w:t xml:space="preserve">1) El Paso is to actively solicit turn-back capacity on a seasonal or year-round basis to meet system shortfall; (2) FT shipper releases back to El Paso must be on permanent nonrecallable basis without ROFR rights, for entire duration of season released and for the entire duration of such season in each remaining year of the agreement, until system shortfall is eliminated; (3) FT shipper Primary Delivery points may serve as Alternate Receipt points for all Shippers, and for FT Shippers with a scheduling priority when such receipts are for deliveries to Primary Delivery points to the extent such nominations are within receiving shipper's Primary Delivery Capacity; (4) contracts expiring after December 1, 2001 with </w:t>
      </w:r>
      <w:r>
        <w:rPr>
          <w:u w:val="single"/>
        </w:rPr>
        <w:t xml:space="preserve">no </w:t>
      </w:r>
      <w:r>
        <w:rPr/>
        <w:t xml:space="preserve">ROFR shall not be renewed by El Paso, but rather allocated among all shippers in proportion to their unsatisfied seasonal MDQ's; (5) contracts expiring after December 1, 2001 </w:t>
      </w:r>
      <w:r>
        <w:rPr>
          <w:u w:val="single"/>
        </w:rPr>
        <w:t>with</w:t>
      </w:r>
      <w:r>
        <w:rPr/>
        <w:t xml:space="preserve"> ROFR shall be exercised by El Paso on behalf of the system in order to meet shortfall, but shared proportionately with shipper who decides to exercise ROFR; (4) El Paso may construct at its option to meet all or a portion of the shortfall.</w:t>
      </w:r>
    </w:p>
    <w:p>
      <w:pPr>
        <w:pStyle w:val="Normal"/>
        <w:numPr>
          <w:ilvl w:val="0"/>
          <w:numId w:val="2"/>
        </w:numPr>
        <w:spacing w:before="0" w:after="120"/>
        <w:rPr/>
      </w:pPr>
      <w:r>
        <w:rPr>
          <w:b/>
          <w:bCs/>
        </w:rPr>
        <w:t xml:space="preserve">Minimum Basin Entitlements defined - </w:t>
      </w:r>
      <w:r>
        <w:rPr/>
        <w:t xml:space="preserve">The Window Rock and Cornudas constraints form the basis for minimum north and south receipt rights. Each firm shipper with deliveries west of these two constraints holding receipt rights in the San Juan and Permian/Anadarko basins, respectively, is considered to have two primary "segments" each with firm Minimum Basin Entitlements.  These entitlements exist for each shipper up to their Primary Daily Delivery Capacity Right, but quantities above the Minimum Basin Entitlement up to the Primary Daily Delivery Capacity Right are considered "secondary".  These receipt capacity rights sum to no more than a shipper's mainline contractual rights.  Attachments 9 and 10 hereto illustrate the methodology for calculating the FT shipper's Minimum Basin Entitlement percentage. </w:t>
      </w:r>
    </w:p>
    <w:p>
      <w:pPr>
        <w:pStyle w:val="Normal"/>
        <w:numPr>
          <w:ilvl w:val="0"/>
          <w:numId w:val="2"/>
        </w:numPr>
        <w:spacing w:before="0" w:after="120"/>
        <w:rPr/>
      </w:pPr>
      <w:r>
        <w:rPr>
          <w:b/>
          <w:bCs/>
        </w:rPr>
        <w:t>Minimum Basin Entitlements are valuable -</w:t>
      </w:r>
      <w:r>
        <w:rPr/>
        <w:t xml:space="preserve"> All shippers with systemwide receipt point rights will be provided their allocated share of San Juan (Window Rock) and Permian/Anadarko (Cornudas) capacity to the west.  These "segment" rights on the Northern and Southern mainlines once allocated among shippers can be separated from their mainline rights and traded.  Thus, a shipper could release some or all of their San Juan receipt rights, and to the extent their needs could be satisfied within their Minimum Basin Entitlement at Cornudas, they could nominate and be scheduled all their gas through the Cornudas to delivery point segment.  </w:t>
      </w:r>
      <w:r>
        <w:rPr>
          <w:b/>
          <w:bCs/>
        </w:rPr>
        <w:t xml:space="preserve">There would be no occasion, other than </w:t>
      </w:r>
      <w:r>
        <w:rPr>
          <w:b/>
          <w:bCs/>
          <w:i/>
          <w:iCs/>
        </w:rPr>
        <w:t>force majeure</w:t>
      </w:r>
      <w:r>
        <w:rPr>
          <w:b/>
          <w:bCs/>
        </w:rPr>
        <w:t>, when all nominations up to a shipper's Minimum Basin Entitlement could not be scheduled</w:t>
      </w:r>
      <w:r>
        <w:rPr/>
        <w:t>.</w:t>
      </w:r>
    </w:p>
    <w:p>
      <w:pPr>
        <w:pStyle w:val="Normal"/>
        <w:numPr>
          <w:ilvl w:val="0"/>
          <w:numId w:val="2"/>
        </w:numPr>
        <w:spacing w:before="0" w:after="120"/>
        <w:rPr/>
      </w:pPr>
      <w:r>
        <w:rPr>
          <w:b/>
          <w:bCs/>
        </w:rPr>
        <w:t>Neither Date Nor Rate Shall Weight</w:t>
      </w:r>
      <w:r>
        <w:rPr/>
        <w:t xml:space="preserve"> </w:t>
      </w:r>
      <w:r>
        <w:rPr>
          <w:b/>
          <w:bCs/>
        </w:rPr>
        <w:t>-</w:t>
      </w:r>
      <w:r>
        <w:rPr/>
        <w:t xml:space="preserve"> For purposes of acquiring additional capacity on any given day above a shipper's Minimum Basin Entitlement, the proposed allocation methodology ignores the date a shipper originally entered its TSA with El Paso, as well as the rate paid under that TSA.  All FT shippers with aggregate systemwide receipt point rights are on an equal footing, sharing pro rata in any capacity above that scheduled for shippers requesting their minimums, based on their respective entitlements.  Thus, each shipper would get the lesser of their nominated quantity or their secondary day-to-day entitlement to available capacity.  </w:t>
      </w:r>
      <w:r>
        <w:rPr>
          <w:b/>
          <w:bCs/>
        </w:rPr>
        <w:t>This preserves an element of pro rata systemwide access, and makes such access immune to potential nominations gaming.</w:t>
      </w:r>
      <w:r>
        <w:rPr/>
        <w:t xml:space="preserve">   </w:t>
      </w:r>
    </w:p>
    <w:p>
      <w:pPr>
        <w:pStyle w:val="Normal"/>
        <w:numPr>
          <w:ilvl w:val="0"/>
          <w:numId w:val="2"/>
        </w:numPr>
        <w:spacing w:before="0" w:after="120"/>
        <w:rPr>
          <w:b/>
          <w:bCs/>
        </w:rPr>
      </w:pPr>
      <w:r>
        <w:rPr>
          <w:b/>
          <w:bCs/>
        </w:rPr>
        <w:t xml:space="preserve">Reservation Charge Credits - </w:t>
      </w:r>
      <w:r>
        <w:rPr/>
        <w:t>To the extent a shipper nominates up to its MDQ and utilizes all of its Primary Receipt Capacity and still is unable to receive delivery of its fully nominated and confirmed Primary Daily Delivery Capacity at or among its primary delivery points, El Paso is required to provide reservation charge credits on a one for one basis.  (</w:t>
      </w:r>
      <w:r>
        <w:rPr>
          <w:i/>
          <w:iCs/>
        </w:rPr>
        <w:t>See</w:t>
      </w:r>
      <w:r>
        <w:rPr/>
        <w:t xml:space="preserve"> Attachment 12 hereto for an illustration of the Reservation Charge Credit Methodology). </w:t>
      </w:r>
    </w:p>
    <w:p>
      <w:pPr>
        <w:pStyle w:val="Normal"/>
        <w:spacing w:before="0" w:after="120"/>
        <w:rPr>
          <w:b/>
          <w:bCs/>
        </w:rPr>
      </w:pPr>
      <w:r>
        <w:rPr>
          <w:b/>
          <w:bCs/>
        </w:rPr>
      </w:r>
    </w:p>
    <w:p>
      <w:pPr>
        <w:pStyle w:val="Normal"/>
        <w:spacing w:before="0" w:after="120"/>
        <w:jc w:val="center"/>
        <w:rPr>
          <w:b/>
          <w:bCs/>
        </w:rPr>
      </w:pPr>
      <w:r>
        <w:rPr>
          <w:b/>
          <w:bCs/>
        </w:rPr>
        <w:t>III.</w:t>
      </w:r>
    </w:p>
    <w:p>
      <w:pPr>
        <w:pStyle w:val="Normal"/>
        <w:jc w:val="center"/>
        <w:rPr>
          <w:b/>
          <w:bCs/>
        </w:rPr>
      </w:pPr>
      <w:r>
        <w:rPr>
          <w:b/>
          <w:bCs/>
        </w:rPr>
        <w:t>THE STRAWMAN ALTERNATIVE IS RESPONSIVE TO</w:t>
      </w:r>
    </w:p>
    <w:p>
      <w:pPr>
        <w:pStyle w:val="Normal"/>
        <w:jc w:val="center"/>
        <w:rPr>
          <w:b/>
          <w:bCs/>
        </w:rPr>
      </w:pPr>
      <w:r>
        <w:rPr>
          <w:b/>
          <w:bCs/>
        </w:rPr>
        <w:t>SHIPPER CONCERNS WITH EL PASO'S MARCH 28 PROPOSAL</w:t>
      </w:r>
    </w:p>
    <w:p>
      <w:pPr>
        <w:pStyle w:val="Normal"/>
        <w:spacing w:before="0" w:after="120"/>
        <w:jc w:val="center"/>
        <w:rPr>
          <w:b/>
          <w:bCs/>
        </w:rPr>
      </w:pPr>
      <w:r>
        <w:rPr>
          <w:b/>
          <w:bCs/>
        </w:rPr>
      </w:r>
    </w:p>
    <w:p>
      <w:pPr>
        <w:pStyle w:val="Normal"/>
        <w:spacing w:lineRule="auto" w:line="480" w:before="0" w:after="120"/>
        <w:rPr/>
      </w:pPr>
      <w:r>
        <w:rPr>
          <w:b/>
          <w:bCs/>
        </w:rPr>
        <w:tab/>
      </w:r>
      <w:r>
        <w:rPr/>
        <w:t>In developing the Strawman Alternative, SRP gave special consideration and thought to the insightful comments filed in response to El Paso's March 28, 2001 System-wide Allocation Proposal, trying to weave consistent shipper concerns into a workable solution for allocating mainline capacity.</w:t>
      </w:r>
      <w:r>
        <w:rPr>
          <w:rStyle w:val="FootnoteCharacters"/>
          <w:rStyle w:val="FootnoteReference"/>
        </w:rPr>
        <w:footnoteReference w:id="6"/>
      </w:r>
      <w:r>
        <w:rPr/>
        <w:t xml:space="preserve">  Below is a summary of the salient shipper concerns which SRP has incorporated into a workable "share the pain" proposal providing certainty, reliability, predictability, accountability, liquidity and flexibility on the El Paso system. </w:t>
      </w:r>
    </w:p>
    <w:p>
      <w:pPr>
        <w:pStyle w:val="Normal"/>
        <w:numPr>
          <w:ilvl w:val="0"/>
          <w:numId w:val="3"/>
        </w:numPr>
        <w:spacing w:before="0" w:after="120"/>
        <w:rPr/>
      </w:pPr>
      <w:r>
        <w:rPr>
          <w:b/>
          <w:bCs/>
        </w:rPr>
        <w:t>FR Conversion - What is a "Reasonable" Entitlement?</w:t>
      </w:r>
    </w:p>
    <w:p>
      <w:pPr>
        <w:pStyle w:val="Normal"/>
        <w:spacing w:before="0" w:after="120"/>
        <w:ind w:start="60" w:end="0"/>
        <w:rPr/>
      </w:pPr>
      <w:r>
        <w:rPr/>
      </w:r>
    </w:p>
    <w:p>
      <w:pPr>
        <w:pStyle w:val="Normal"/>
        <w:spacing w:lineRule="auto" w:line="480" w:before="0" w:after="120"/>
        <w:ind w:firstLine="720" w:end="0"/>
        <w:rPr/>
      </w:pPr>
      <w:r>
        <w:rPr/>
        <w:t>The Initial Comments of the Indicated Shippers (IS) make a compelling point that SRP has adopted in the Strawman Alternative.  At page 5 of their Initial Comments, IS state: [T]here is not enough capacity to go around and capacity rights are not quantified or defined.  To fix the problem, firm capacity must be 'allocated' in some way."  The Strawman Alternative proposes such a way, and SRP submits that the manner of allocation advocated therein is fair, equitable, reasonable</w:t>
      </w:r>
      <w:r>
        <w:rPr>
          <w:rStyle w:val="FootnoteCharacters"/>
          <w:rStyle w:val="FootnoteReference"/>
        </w:rPr>
        <w:footnoteReference w:id="7"/>
      </w:r>
      <w:r>
        <w:rPr/>
        <w:t>, implementable and most importantly, rooted in the history of and consistent with the core features of the El Paso Tariff and its landmark ten-year settlement.  Historically, the El Paso system relied upon the captive and diverse nature of the FR customers to manage its full requirements service obligation.  El Paso also relied upon the pro rata allocation of nominated and confirmed quantities as a means of allocating scarce receipt and mainline capacity in the scheduling process.  In fashioning this proposal, particularly the sensitive issue of FR conversion, these factors took on great importance.</w:t>
      </w:r>
    </w:p>
    <w:p>
      <w:pPr>
        <w:pStyle w:val="Normal"/>
        <w:spacing w:lineRule="auto" w:line="480" w:before="0" w:after="120"/>
        <w:ind w:firstLine="420" w:end="0"/>
        <w:rPr/>
      </w:pPr>
      <w:r>
        <w:rPr/>
        <w:t xml:space="preserve">(1) </w:t>
      </w:r>
      <w:r>
        <w:rPr>
          <w:b/>
          <w:bCs/>
        </w:rPr>
        <w:t>The captive nature of the FR customer</w:t>
      </w:r>
      <w:r>
        <w:rPr/>
        <w:t xml:space="preserve"> - First as a purchaser of bundled supplies from El Paso going back to at least the 1940's, and later as a purchaser of capacity from El Paso, it was in consideration for the FR customer not acquiring supplies or services from any other provider that El Paso would agree to provide such customers its "full requirements" up to limits that are well known.   Moreover, under such arrangements El Paso would know that its full requirements obligations would only extend to those service areas and loads that El Paso alone served.  This meant that El Paso would not have to be concerned with the customer swinging between El Paso and another competing supplier for the same supplies or services.  Finally, this also meant that the physical realities, the actual demand for natural gas in total at the FR customer's locations, was all that El Paso would be asked to supply and, equally important, would comprise the demand that El Paso could count on supplying.</w:t>
      </w:r>
    </w:p>
    <w:p>
      <w:pPr>
        <w:pStyle w:val="Normal"/>
        <w:spacing w:lineRule="auto" w:line="480"/>
        <w:rPr/>
      </w:pPr>
      <w:r>
        <w:rPr/>
        <w:tab/>
        <w:t xml:space="preserve">(2) </w:t>
      </w:r>
      <w:r>
        <w:rPr>
          <w:b/>
          <w:bCs/>
        </w:rPr>
        <w:t xml:space="preserve">The diversity of FR loads - </w:t>
      </w:r>
      <w:r>
        <w:rPr/>
        <w:t>The off-setting consumption patterns and non-coincidental load peaks associated with winter and summer peaking customers whose demands El Paso both had to and could count on supplying meant that El Paso could optimize supply acquisition, and later capacity service, by planning around these diversities.  As a supplier of gas, with virtually no useful system storage, El Paso optimized by purchasing supplies to meet the winter coincident peak and to provide at least that much pipeline capacity.  This meant that those not consuming bundled supplies, or later, transportation services, at the peak contributed positively to system load factor and to the revenues of the pipeline, but generally did not cause additional contribution to the fixed costs or supply deliverability obligations.  It was in this historic context that the cost allocation underlying the ten-year settlement was fashioned.</w:t>
      </w:r>
    </w:p>
    <w:p>
      <w:pPr>
        <w:pStyle w:val="Normal"/>
        <w:spacing w:lineRule="auto" w:line="480"/>
        <w:rPr/>
      </w:pPr>
      <w:r>
        <w:rPr/>
        <w:tab/>
        <w:t xml:space="preserve">(3) </w:t>
      </w:r>
      <w:r>
        <w:rPr>
          <w:b/>
          <w:bCs/>
        </w:rPr>
        <w:t xml:space="preserve">Pro Rata Capacity Allocation - </w:t>
      </w:r>
      <w:r>
        <w:rPr/>
        <w:t>The pro rata capacity allocation process, by which limits are imposed on a FR shipper's nomination, is also a process upon which El Paso, the FR shippers and, to some extent, the CD shippers have relied historically to allocate the pain resulting from a mismatch between a demand for capacity and the supply of that capacity.</w:t>
      </w:r>
    </w:p>
    <w:p>
      <w:pPr>
        <w:pStyle w:val="Normal"/>
        <w:spacing w:lineRule="auto" w:line="480"/>
        <w:rPr/>
      </w:pPr>
      <w:r>
        <w:rPr/>
        <w:tab/>
        <w:t>It is on the basis of these historical predicates and the reasonableness of their application on the El Paso system that the Strawman Alternative uses actual FR shippers' historic usage, namely, non-coincident peak (NCP) averaged over a five year period, and adds an extra weight to the present by weighing that five year quantity with the 2001 NCP in both winter and summer periods for every FR customer.  As pointed out by MGI Supply, there is a tyranny to "Single day snapshots" [which] "are simply too arbitrary for this critical purpose".</w:t>
      </w:r>
      <w:r>
        <w:rPr>
          <w:b/>
          <w:bCs/>
        </w:rPr>
        <w:t xml:space="preserve">  </w:t>
      </w:r>
      <w:r>
        <w:rPr/>
        <w:t>MGI Initial Comments, at p. 3.</w:t>
      </w:r>
      <w:r>
        <w:rPr>
          <w:rStyle w:val="FootnoteCharacters"/>
          <w:rStyle w:val="FootnoteReference"/>
        </w:rPr>
        <w:footnoteReference w:id="8"/>
      </w:r>
      <w:r>
        <w:rPr/>
        <w:t xml:space="preserve">  </w:t>
      </w:r>
      <w:r>
        <w:rPr>
          <w:b/>
          <w:bCs/>
        </w:rPr>
        <w:t xml:space="preserve"> </w:t>
      </w:r>
      <w:r>
        <w:rPr/>
        <w:t>SRP concurs and that is why we have proposed to look not at CP, which is necessarily arbitrary, but at NCP which is a specific shipper's known behavior under its own defined peak and maximum off-peak usages.  For FR shippers, their seasonal NCP is the best proxy for a contract right.</w:t>
      </w:r>
      <w:r>
        <w:rPr>
          <w:rStyle w:val="FootnoteCharacters"/>
          <w:rStyle w:val="FootnoteReference"/>
        </w:rPr>
        <w:footnoteReference w:id="9"/>
      </w:r>
      <w:r>
        <w:rPr/>
        <w:t xml:space="preserve">  It has the advantage of being based upon the past and therefore not subject to manipulation, and reflects actual utilization by the historically diverse FR community in the two seasons….in short it is simply fair.</w:t>
      </w:r>
    </w:p>
    <w:p>
      <w:pPr>
        <w:pStyle w:val="Normal"/>
        <w:spacing w:lineRule="auto" w:line="480"/>
        <w:rPr/>
      </w:pPr>
      <w:r>
        <w:rPr/>
        <w:tab/>
        <w:t>Further, because the sum of the seasonal CDs (FR-converted and CD) is greater than the physical capacity of the system, the use of the "pro rata capacity allocation" methodology, applied in the Strawman Alternative to allocate the mainline and receipt point capacity shortfall, is also fair and an appropriate utilization of an historic tool at least until the system is brought into balance. Thus, the seasonal allocation reflects historic captivity and diversity, and the sharing of the shortfall reflects historic reliance on pro rata allocation, rejecting the notion that either the CD or FR community should bear the brunt of the evident capacity shortfall.</w:t>
      </w:r>
    </w:p>
    <w:p>
      <w:pPr>
        <w:pStyle w:val="Normal"/>
        <w:spacing w:lineRule="auto" w:line="480"/>
        <w:ind w:firstLine="420" w:end="0"/>
        <w:rPr/>
      </w:pPr>
      <w:r>
        <w:rPr/>
        <w:t>With respect to the level of pain-sharing, it is important to recognize that while the shortfall is shared equally between the CD and converted FR shippers, the level of CD that is accorded to FR converting Shippers is uniformly far less than their highest NCP in the period 1996 to present.  This is a mathematical fact of averaging, but more importantly the magnitude of shortfall for the converting FR Shippers, compared to these actual usages, is between 10 and 32%.  The 10% shortfall is the average percentage shortfall of winter peaking FR converting Shippers against their 5-year high winter NCP, and the 32% shortfall is the average summer peaking FR converting Shippers against their 5-year high summer NCP.   Even more notable is that none of the assigned entitlements for FR converting Shippers has any provision for future growth.  The significance of this fact among the FR community cannot be underestimated, and should be sufficient to answer those desiring some level of “punishment” for FR Shippers' use of their contractual rights over the past 6 years.</w:t>
      </w:r>
      <w:r>
        <w:rPr>
          <w:rStyle w:val="FootnoteCharacters"/>
          <w:rStyle w:val="FootnoteReference"/>
        </w:rPr>
        <w:footnoteReference w:id="10"/>
      </w:r>
      <w:r>
        <w:rPr/>
        <w:t xml:space="preserve">  </w:t>
      </w:r>
    </w:p>
    <w:p>
      <w:pPr>
        <w:pStyle w:val="Normal"/>
        <w:numPr>
          <w:ilvl w:val="0"/>
          <w:numId w:val="3"/>
        </w:numPr>
        <w:spacing w:lineRule="auto" w:line="480"/>
        <w:rPr>
          <w:b/>
          <w:bCs/>
        </w:rPr>
      </w:pPr>
      <w:r>
        <w:rPr>
          <w:b/>
          <w:bCs/>
        </w:rPr>
        <w:t>Procedures Necessary To Mitigate or Eliminate The Shortfall In Capacity</w:t>
      </w:r>
    </w:p>
    <w:p>
      <w:pPr>
        <w:pStyle w:val="Normal"/>
        <w:spacing w:lineRule="auto" w:line="480"/>
        <w:ind w:firstLine="720" w:end="0"/>
        <w:rPr/>
      </w:pPr>
      <w:r>
        <w:rPr>
          <w:b/>
          <w:bCs/>
        </w:rPr>
        <w:t xml:space="preserve">Turn-back of Capacity - </w:t>
      </w:r>
      <w:r>
        <w:rPr/>
        <w:t>Enron and others propose to have a voluntary turn-back of capacity to help eliminate the westward capacity gap.</w:t>
      </w:r>
      <w:r>
        <w:rPr>
          <w:rStyle w:val="FootnoteCharacters"/>
          <w:rStyle w:val="FootnoteReference"/>
        </w:rPr>
        <w:footnoteReference w:id="11"/>
      </w:r>
      <w:r>
        <w:rPr/>
        <w:t xml:space="preserve">  This is a prominent feature of the Strawman Alternative, and also an element of the "pain sharing" proposed.  Though not being required to construct additional facilities to close the capacity gap, El Paso will share some of the pain felt by the system in the form of reduced revenues as none would accrue to El Paso from the turn-back capacity.  El Paso of course can avoid this pain by upgrading or otherwise placing into service a sufficient quantity of capacity to overcome the capacity shortfall.</w:t>
      </w:r>
    </w:p>
    <w:p>
      <w:pPr>
        <w:pStyle w:val="Normal"/>
        <w:spacing w:lineRule="auto" w:line="480"/>
        <w:ind w:firstLine="720" w:end="0"/>
        <w:rPr/>
      </w:pPr>
      <w:r>
        <w:rPr>
          <w:b/>
          <w:bCs/>
        </w:rPr>
        <w:t xml:space="preserve">Reservation Charge Credits - </w:t>
      </w:r>
      <w:r>
        <w:rPr/>
        <w:t>Many commenters in the Order 637 proceeding, as well as in the related complaint proceedings, have insisted that El Paso be required to make reservation charge credits to its firm shippers until the capacity shortfall on the system is rectified.</w:t>
      </w:r>
      <w:r>
        <w:rPr>
          <w:rStyle w:val="FootnoteCharacters"/>
          <w:rStyle w:val="FootnoteReference"/>
        </w:rPr>
        <w:footnoteReference w:id="12"/>
      </w:r>
      <w:r>
        <w:rPr/>
        <w:t xml:space="preserve"> This suggestion is adopted in the Strawman Alternative as another means by which El Paso will share the pain of the current capacity shortfall; it is intended to incent El Paso to alleviate the problem.</w:t>
      </w:r>
    </w:p>
    <w:p>
      <w:pPr>
        <w:pStyle w:val="Normal"/>
        <w:spacing w:lineRule="auto" w:line="480"/>
        <w:ind w:firstLine="720" w:end="0"/>
        <w:rPr/>
      </w:pPr>
      <w:r>
        <w:rPr/>
        <w:t>SRP has fully developed the reservation charge credit under the Strawman Alternative so as to avoid any manipulation.  Specifically, El Paso is required to provide such credits on a one-for-one basis, to the extent a shipper (1) nominates up to its Total MDQ</w:t>
      </w:r>
      <w:r>
        <w:rPr>
          <w:rStyle w:val="FootnoteCharacters"/>
          <w:rStyle w:val="FootnoteReference"/>
        </w:rPr>
        <w:footnoteReference w:id="13"/>
      </w:r>
      <w:r>
        <w:rPr/>
        <w:t>; (2) utilizes all of its Primary Receipt Capacity; (3) has its supply transactions confirmed; (4) utilizes its Primary Delivery Capacity; (5) has its market transactions confirmed at the delivery end; and (6) is unable to receive delivery of its fully nominated and confirmed Primary Delivery Capacity at or among such Primary Delivery point(s).</w:t>
      </w:r>
      <w:r>
        <w:rPr>
          <w:rStyle w:val="FootnoteCharacters"/>
        </w:rPr>
        <w:t xml:space="preserve"> </w:t>
      </w:r>
      <w:r>
        <w:rPr>
          <w:rStyle w:val="FootnoteCharacters"/>
          <w:rStyle w:val="FootnoteReference"/>
        </w:rPr>
        <w:footnoteReference w:id="14"/>
      </w:r>
      <w:r>
        <w:rPr/>
        <w:t xml:space="preserve"> Thus, credit is due </w:t>
      </w:r>
      <w:r>
        <w:rPr>
          <w:u w:val="single"/>
        </w:rPr>
        <w:t>only</w:t>
      </w:r>
      <w:r>
        <w:rPr/>
        <w:t xml:space="preserve"> when Primary Receipt and Delivery Capacity is implicated and the transactions that were not fulfilled were confirmed both as to supply and market.</w:t>
      </w:r>
      <w:r>
        <w:rPr>
          <w:rStyle w:val="FootnoteCharacters"/>
          <w:rStyle w:val="FootnoteReference"/>
        </w:rPr>
        <w:footnoteReference w:id="15"/>
      </w:r>
    </w:p>
    <w:p>
      <w:pPr>
        <w:pStyle w:val="Normal"/>
        <w:spacing w:lineRule="auto" w:line="480"/>
        <w:ind w:firstLine="720" w:end="0"/>
        <w:rPr/>
      </w:pPr>
      <w:r>
        <w:rPr>
          <w:b/>
          <w:bCs/>
        </w:rPr>
        <w:t xml:space="preserve">Availability of Receipts at Delivery Points - </w:t>
      </w:r>
      <w:r>
        <w:rPr/>
        <w:t>The Strawman Alternative adopts the proposal of Enron (Initial Comments at p. 3) and MGI Supply (Initial Comments at p. 7) that El Paso be required to accept receipts at delivery points.  In particular, Enron proposes that “[A]s is typically the case on other interstate pipeline systems, delivery points should also be available as receipt points, to allow for backhauls and transactions based on displacement on an as-available basis.”  More specifically, Enron argues that  “[T]he El Paso California delivery points should be available as receipt points to allow</w:t>
      </w:r>
    </w:p>
    <w:p>
      <w:pPr>
        <w:pStyle w:val="Normal"/>
        <w:spacing w:lineRule="auto" w:line="480"/>
        <w:rPr/>
      </w:pPr>
      <w:r>
        <w:rPr/>
        <w:t xml:space="preserve">backhauls on an interruptible and alternate receipt point basis to increase system flexibility.”  In fact the Strawman Alternative further enhances system flexibility by requiring El Paso to accept as receipts any gas at any El Paso FT delivery point onto any other TSA (firm or interruptible) for the commodity rate of the receiving contract (within </w:t>
      </w:r>
      <w:r>
        <w:br w:type="page"/>
      </w:r>
    </w:p>
    <w:p>
      <w:pPr>
        <w:pStyle w:val="Normal"/>
        <w:spacing w:lineRule="auto" w:line="480"/>
        <w:rPr/>
      </w:pPr>
      <w:r>
        <w:rPr/>
        <w:t xml:space="preserve">MDQ).  By making delivery points available as receipt points, gas delivered to such points can be "bounced" onto another shipper's TSA for delivery to meet their peak requirements.  Such receipts would be considered Alternate Receipts and when moving to Primary Delivery points within primary MDQ would be accorded the Alternate to Primary scheduling priority.  </w:t>
      </w:r>
      <w:r>
        <w:rPr>
          <w:b/>
          <w:bCs/>
        </w:rPr>
        <w:t>As such, it would provide an efficient supplemental means for shippers obtaining supplies to meet their seasonal peaks when primary receipt capacity is constrained.</w:t>
      </w:r>
    </w:p>
    <w:p>
      <w:pPr>
        <w:pStyle w:val="Normal"/>
        <w:numPr>
          <w:ilvl w:val="0"/>
          <w:numId w:val="3"/>
        </w:numPr>
        <w:spacing w:lineRule="auto" w:line="480"/>
        <w:rPr>
          <w:b/>
          <w:bCs/>
        </w:rPr>
      </w:pPr>
      <w:r>
        <w:rPr>
          <w:b/>
          <w:bCs/>
        </w:rPr>
        <w:t>Requests That El Paso's System Be "Pathed"</w:t>
      </w:r>
    </w:p>
    <w:p>
      <w:pPr>
        <w:pStyle w:val="Normal"/>
        <w:spacing w:lineRule="auto" w:line="480"/>
        <w:ind w:firstLine="720" w:end="0"/>
        <w:rPr/>
      </w:pPr>
      <w:r>
        <w:rPr/>
        <w:t xml:space="preserve">In its March 28 Proposal, El Paso does not propose to create threads or paths through its system, i.e., specific volumetric entitlements through identified segments of the pipeline to connect receipt and delivery points.  El Paso concludes "the very nature of FR service precludes pathing…so long as the volumetric rights of FR shippers are not clearly specified…" (March 28 Proposal at p. 4).  </w:t>
      </w:r>
    </w:p>
    <w:p>
      <w:pPr>
        <w:pStyle w:val="Normal"/>
        <w:spacing w:lineRule="auto" w:line="480"/>
        <w:ind w:firstLine="720" w:end="0"/>
        <w:rPr/>
      </w:pPr>
      <w:r>
        <w:rPr/>
        <w:t>In contrast, many shippers propose "pathing" in their Initial Comments.</w:t>
      </w:r>
      <w:r>
        <w:rPr>
          <w:rStyle w:val="FootnoteCharacters"/>
          <w:rStyle w:val="FootnoteReference"/>
        </w:rPr>
        <w:footnoteReference w:id="16"/>
      </w:r>
      <w:r>
        <w:rPr/>
        <w:t xml:space="preserve">  The Strawman Alternative enables a shipper to segment their capacity into two main segments, the northern and southern segments.  This segmentation is one of the major objectives of those who request "pathing".  Generally, pathing is a worthy objective when there are in-path constraints and in-path receipts and deliveries to off-system pipelines, which enables the alleviation of the constraint and segregation of the capacity into non-overlapping segments.  However, it may be that the In-Line Pooling in addition to the Primary Receipt Point Allocation and cascading availability of supply at the Last-In-Line </w:t>
      </w:r>
      <w:r>
        <w:br w:type="page"/>
      </w:r>
    </w:p>
    <w:p>
      <w:pPr>
        <w:pStyle w:val="Normal"/>
        <w:spacing w:lineRule="auto" w:line="480"/>
        <w:rPr/>
      </w:pPr>
      <w:r>
        <w:rPr/>
        <w:t>Mainline Pools, proposed by Southern California Gas Co. and adopted in the Strawman Alternative will fully address these concerns.</w:t>
      </w:r>
    </w:p>
    <w:p>
      <w:pPr>
        <w:pStyle w:val="Normal"/>
        <w:numPr>
          <w:ilvl w:val="0"/>
          <w:numId w:val="3"/>
        </w:numPr>
        <w:spacing w:lineRule="auto" w:line="480"/>
        <w:rPr>
          <w:b/>
          <w:bCs/>
        </w:rPr>
      </w:pPr>
      <w:r>
        <w:rPr>
          <w:b/>
          <w:bCs/>
        </w:rPr>
        <w:t>Concerns with El Paso Providing FR Shippers With a Scheduling Priority</w:t>
      </w:r>
    </w:p>
    <w:p>
      <w:pPr>
        <w:pStyle w:val="Normal"/>
        <w:spacing w:lineRule="auto" w:line="480"/>
        <w:ind w:firstLine="720" w:end="0"/>
        <w:rPr/>
      </w:pPr>
      <w:r>
        <w:rPr/>
        <w:t xml:space="preserve">The March 28 Proposal was soundly criticized by the CD Shipper community for proposing to accord FR shippers a higher scheduling priority for volumes flowing to primary delivery points from alternate receipt points, ahead of all other firm contracts using alternate points.  As argued by PG&amp;E and Enron, this provision if granted to only one subset of FT customers would likely be discriminatory, would not solve but rather exacerbate the capacity problem on El Paso, and would have as yet unforeseen and quite possibly unintended consequences.  </w:t>
      </w:r>
    </w:p>
    <w:p>
      <w:pPr>
        <w:pStyle w:val="Normal"/>
        <w:spacing w:lineRule="auto" w:line="480"/>
        <w:ind w:firstLine="720" w:end="0"/>
        <w:rPr>
          <w:b/>
          <w:bCs/>
          <w:sz w:val="20"/>
        </w:rPr>
      </w:pPr>
      <w:r>
        <w:rPr/>
        <w:t xml:space="preserve">Under the Strawman Alternative, a higher priority to alternate receipts nominated to primary delivery points is accorded to </w:t>
      </w:r>
      <w:r>
        <w:rPr>
          <w:u w:val="single"/>
        </w:rPr>
        <w:t>all FT shippers</w:t>
      </w:r>
      <w:r>
        <w:rPr/>
        <w:t xml:space="preserve"> with Primary Delivery Capacity in excess of Primary Receipt Capacity.  This condition is true for as long as El Paso has a capacity shortfall.</w:t>
      </w:r>
      <w:r>
        <w:rPr>
          <w:rStyle w:val="FootnoteCharacters"/>
          <w:rStyle w:val="FootnoteReference"/>
        </w:rPr>
        <w:footnoteReference w:id="17"/>
      </w:r>
      <w:r>
        <w:rPr/>
        <w:t xml:space="preserve"> Further, while it has been argued "CD and FR shippers should have the same rights at alternate receipt points" (Enron Initial Comments at p. 11), SRP submits that not only should this priority be the same for all FT shippers but that </w:t>
      </w:r>
      <w:r>
        <w:rPr>
          <w:b/>
          <w:bCs/>
        </w:rPr>
        <w:t>Alternate Receipt to Primary Delivery should come ahead of Primary Receipt to Alternate Delivery up to the nominating shipper's Primary Delivery Capacity for so long as there is a capacity deficiency westward on the El Paso system.</w:t>
      </w:r>
      <w:r>
        <w:rPr/>
        <w:t xml:space="preserve">  The Strawman Alternative would modify the scheduling provisions of El Paso's Tariff to that effect, assuaging shipper concerns about equal treatment, and providing an additional practical vehicle for shippers to mitigate capacity shortfall.</w:t>
      </w:r>
    </w:p>
    <w:p>
      <w:pPr>
        <w:pStyle w:val="Normal"/>
        <w:numPr>
          <w:ilvl w:val="0"/>
          <w:numId w:val="3"/>
        </w:numPr>
        <w:rPr>
          <w:b/>
          <w:bCs/>
        </w:rPr>
      </w:pPr>
      <w:r>
        <w:rPr>
          <w:b/>
          <w:bCs/>
        </w:rPr>
        <w:t>The SoCal Gas In-Line Pooling Proposal Enhances Liquidity, Certainty, Reliability, Predictability, Accountability, and Flexibility.</w:t>
      </w:r>
    </w:p>
    <w:p>
      <w:pPr>
        <w:pStyle w:val="Normal"/>
        <w:ind w:start="58" w:end="0"/>
        <w:rPr>
          <w:b/>
          <w:bCs/>
        </w:rPr>
      </w:pPr>
      <w:r>
        <w:rPr>
          <w:b/>
          <w:bCs/>
        </w:rPr>
      </w:r>
    </w:p>
    <w:p>
      <w:pPr>
        <w:pStyle w:val="Normal"/>
        <w:spacing w:lineRule="auto" w:line="480" w:before="0" w:after="120"/>
        <w:ind w:firstLine="720" w:end="0"/>
        <w:rPr/>
      </w:pPr>
      <w:r>
        <w:rPr/>
        <w:t>An overwhelming number of parties decry the negative impact on liquidity that increasing the number of pooling points from 6 to 20 is likely to have.</w:t>
      </w:r>
      <w:r>
        <w:rPr>
          <w:rStyle w:val="FootnoteCharacters"/>
          <w:rStyle w:val="FootnoteReference"/>
        </w:rPr>
        <w:footnoteReference w:id="18"/>
      </w:r>
      <w:r>
        <w:rPr/>
        <w:t xml:space="preserve">   In PG&amp;E Trading’s Initial Comments (at p. 4), for example, they call on the Commission to require El Paso to reduce the current number of Pools from 6 to 3 and have El Paso conduct an iterative process of Receipt Capacity Allocation among these three “Pools”. Their objective is to have three very liquid pools.  The Strawman Alternative literally goes that request one better by reducing the number of highly liquid Pools to two, and at the same time provides for a “best of both worlds” in so far as shippers can choose capacity at one pool, two pools, many pools, physical receipt points or a combination of all of the above.  </w:t>
      </w:r>
    </w:p>
    <w:p>
      <w:pPr>
        <w:pStyle w:val="Normal"/>
        <w:spacing w:lineRule="auto" w:line="480"/>
        <w:ind w:firstLine="720" w:end="0"/>
        <w:rPr/>
      </w:pPr>
      <w:r>
        <w:rPr/>
        <w:t>The Strawman Alternative responds to shipper concerns by adopting the pooling concepts contained in the SoCal Gas Initial Comments.  In particular, the same consultant who worked with SRP to develop the Strawman Alternative, worked with SRP and SoCal Gas to develop and refine the In-Line Pooling Proposal and Iterative Allocation Process endorsed herein.  Unlike the El Paso proposal (increasing from 6 to 20 pools and assigning pool capacity rights to FT shippers), the SoCal Gas/Strawman Alternative passes muster on five judgmental criteria, assuring that it will enhance system operations for all shippers:</w:t>
      </w:r>
    </w:p>
    <w:p>
      <w:pPr>
        <w:pStyle w:val="Normal"/>
        <w:spacing w:lineRule="auto" w:line="480"/>
        <w:ind w:firstLine="720" w:end="0"/>
        <w:rPr/>
      </w:pPr>
      <w:r>
        <w:rPr>
          <w:b/>
          <w:bCs/>
        </w:rPr>
        <w:t xml:space="preserve">Accountability - </w:t>
      </w:r>
      <w:r>
        <w:rPr/>
        <w:t>As with the El Paso proposal, the In-Line Pooling Proposal enhances Accountability.  It does so by identifying the same constraint locations as identified by El Paso.  This works to enhance accountability because the cuts that are received by Shippers and Poolers to their nominations will enable them to discern whether the cut was a capacity constraint or a confirming party reduction and to do so at the level of detail necessary to isolate the cause.  No longer will Poolers be able to hide behind El Paso’s “black box” scheduling process blaming El Paso for mysterious cuts, nor will El Paso be able to hide behind the Poolers saying, “we were just following their rankings”.  With In-Line Pooling, parties will be able to track down from one another the cuts and for those who wish more accountability to their transactions, they will be able to request and receive reports from El Paso, which will be able to prove to their counter parties that the cuts were real.</w:t>
      </w:r>
      <w:r>
        <w:rPr>
          <w:rFonts w:cs="Arial" w:ascii="Arial" w:hAnsi="Arial"/>
        </w:rPr>
        <w:t xml:space="preserve">  </w:t>
      </w:r>
    </w:p>
    <w:p>
      <w:pPr>
        <w:pStyle w:val="Normal"/>
        <w:spacing w:lineRule="auto" w:line="480" w:before="0" w:after="120"/>
        <w:ind w:firstLine="720" w:end="0"/>
        <w:rPr/>
      </w:pPr>
      <w:r>
        <w:rPr>
          <w:b/>
          <w:bCs/>
        </w:rPr>
        <w:t>Certainty</w:t>
      </w:r>
      <w:r>
        <w:rPr/>
        <w:t xml:space="preserve"> - The In-Line Pooling Proposal provides every FT shipper with improved certainty as shippers can be assured that if they select Firm Primary Receipt Capacity at a Supply Pool or at a Receipt Point into that Pool, and they nominate supply on any given day which supply is received into that Pool or at that point into that pool, that their quantity of nominated supply will flow (absent non-confirmation by the supplier or the supplier being non-confirmed by the producer/ point operator).  Even in the non-confirmation of supply instance, the nominating shipper will still have their Primary Receipt to Primary Delivery Capacity available to them for scheduling through all nomination cycles (excluding of course the last “no-bump” cycle).  This certainty reduces the nomination and business churning concerns reflected in shipper comments on El Paso's proposal.</w:t>
      </w:r>
    </w:p>
    <w:p>
      <w:pPr>
        <w:pStyle w:val="Normal"/>
        <w:spacing w:lineRule="auto" w:line="480" w:before="0" w:after="120"/>
        <w:ind w:firstLine="720" w:end="0"/>
        <w:rPr/>
      </w:pPr>
      <w:r>
        <w:rPr>
          <w:b/>
          <w:bCs/>
        </w:rPr>
        <w:t>Predictability</w:t>
      </w:r>
      <w:r>
        <w:rPr/>
        <w:t xml:space="preserve"> - The In-line Pooling Proposal enables a shipper to predict that they will receive (absent </w:t>
      </w:r>
      <w:r>
        <w:rPr>
          <w:i/>
          <w:iCs/>
        </w:rPr>
        <w:t>force majeure</w:t>
      </w:r>
      <w:r>
        <w:rPr/>
        <w:t>) 100% of their allocated Primary Receipt Capacity every day provided they have their supplies confirmed by their suppliers who in turn have their supplies confirmed by their suppliers.  This level of predictability means that shippers can make long term pricing plans, supply acquisition plans, regulatory filings, risk management decisions and execute risk management strategies. This is so because they will know precisely the relative quantity of the different pools that they can access and from which they can receive firm supplies.  Moreover, to the extent favored locations are “ tied-up” this too will be known (through the Index of Customers which lists receipt locations and quantities) so that Shippers can query their suppliers as to the location of supplies being offered to support short or long term transactions.  With this knowledge, the Shippers (and Poolers) can then assess for themselves – i.e., predict -- the chances that such supplies will or will not flow at some future time under relevant high or low demand or flow conditions.</w:t>
      </w:r>
    </w:p>
    <w:p>
      <w:pPr>
        <w:pStyle w:val="Normal"/>
        <w:spacing w:lineRule="auto" w:line="480" w:before="0" w:after="120"/>
        <w:ind w:firstLine="720" w:end="0"/>
        <w:rPr/>
      </w:pPr>
      <w:r>
        <w:rPr>
          <w:b/>
          <w:bCs/>
        </w:rPr>
        <w:t>Reliability</w:t>
      </w:r>
      <w:r>
        <w:rPr/>
        <w:t xml:space="preserve"> - One can achieve reliability when the rights and obligations that one shipper exercises do not negatively affect the certainty, accountability, predictability, flexibility and reliability of the services enjoyed by others.  When the actions of others are either circumscribed or one is insulated from the effects that others' actions may have on them, we have reliability.  Without this critical “walling-off” of the impacts of others' decisions or actions from affecting us, there is no reliability.  Thus, a salient feature of the In-Line Pooling Proposal and missing from all other proposals is that once the Primary Receipt Capacity is assigned through the iterative process, and the accompanying day-to-day nomination and scheduling changes which accompany the In-Line Pooling Proposal are made, it will be possible to say that no shipper's  (nor group of shippers or poolers) individual or in-concert decisions will affect in a negative manner the predictability, certainty, accountability, or flexibility of another Shipper who is acting and behaving within the lines of their Primary Receipt and Primary Delivery Capacity.  This is the essence of reliability.</w:t>
      </w:r>
    </w:p>
    <w:p>
      <w:pPr>
        <w:pStyle w:val="Normal"/>
        <w:spacing w:lineRule="auto" w:line="480" w:before="0" w:after="120"/>
        <w:ind w:firstLine="720" w:end="0"/>
        <w:rPr/>
      </w:pPr>
      <w:r>
        <w:rPr>
          <w:b/>
          <w:bCs/>
        </w:rPr>
        <w:t>Flexibility</w:t>
      </w:r>
      <w:r>
        <w:rPr/>
        <w:t xml:space="preserve"> - While every one wants flexibility, few can define it. Here, it means the ability to change one’s strategy or direction with respect to the market and have available choices – choices that are still available late in the transaction cycle, late in the physical scheduling cycle, and/or late in the initial or daily capacity allocation process.    An inflexible system leaves one with fewer choices after the exercise of earlier ones.  A flexible system assures that one is not trapped by inflexible responses to earlier decisions.  </w:t>
      </w:r>
    </w:p>
    <w:p>
      <w:pPr>
        <w:pStyle w:val="Normal"/>
        <w:spacing w:lineRule="auto" w:line="480" w:before="0" w:after="120"/>
        <w:ind w:firstLine="720" w:end="0"/>
        <w:rPr/>
      </w:pPr>
      <w:r>
        <w:rPr/>
        <w:t xml:space="preserve">The In-Line Pooling Proposal provides such shipper flexibility.  For example, if a shipper has picked a specific receipt point in the pool, and there is no gas at that point at some time in the future, the shipper’s rights at the pool are still primary and they can purchase gas from poolers receiving gas into that pool and have that gas moved to their Primary Delivery point within their Mainline Capacity.  Likewise, if there are no suppliers at that Pool wishing to contract with the capacity holder at that pool, the shipper has capacity, in the aggregate, at the next-In-Line Pool and so on downstream until the Last-in-Line Mainline Pools.  Thus, as supply options alter and prices change, having access to and availability at any of the pools downstream of the shipper’s chosen location (i.e., at the most liquid locations) is an option-enhancing attribute.  </w:t>
      </w:r>
    </w:p>
    <w:p>
      <w:pPr>
        <w:pStyle w:val="Normal"/>
        <w:spacing w:lineRule="auto" w:line="480" w:before="0" w:after="120"/>
        <w:ind w:firstLine="720" w:end="0"/>
        <w:rPr/>
      </w:pPr>
      <w:r>
        <w:rPr/>
        <w:t>Likewise, as the shipper’s capacity segments can be released separately, an early strategy formulation may be changed by the shipper, and can be effectively monetized and sold off or traded with reliable, predictable and accountable certainty in the secondary market.  With the Receipt Capacity Allocation Proposal, it will be possible for a shipper to reliably and flexibly respond to changes in market conditions in the future.  This does not mean that there will not be those who win or lose, profit or falter as a result of their choices; rather it means that the extent of their profit or falter will be predictable and they will share the same fate as others that are similarly situated - a fact that is not the case on El Paso today, where two similarly situated shippers can experience very different capacity allocation outcomes on a cycle to cycle one day to the next basis.</w:t>
      </w:r>
    </w:p>
    <w:p>
      <w:pPr>
        <w:pStyle w:val="Normal"/>
        <w:spacing w:lineRule="auto" w:line="480" w:before="0" w:after="120"/>
        <w:rPr>
          <w:b/>
          <w:bCs/>
        </w:rPr>
      </w:pPr>
      <w:r>
        <w:rPr>
          <w:b/>
          <w:bCs/>
        </w:rPr>
        <w:t>F.</w:t>
        <w:tab/>
        <w:t xml:space="preserve">"Within-the-Path" Scheduling Priorities </w:t>
      </w:r>
    </w:p>
    <w:p>
      <w:pPr>
        <w:pStyle w:val="Normal"/>
        <w:spacing w:lineRule="auto" w:line="480" w:before="0" w:after="120"/>
        <w:ind w:firstLine="720" w:end="0"/>
        <w:rPr/>
      </w:pPr>
      <w:r>
        <w:rPr/>
        <w:t>The Strawman Alternative also adopted the concept put forth by the Indicated Shippers calling for “within-the-path” scheduling priorities.  This within-the-path priority is a fundamental aspect of the Primary Receipt Capacity through the pools component of In-Line-Pooling proposal of SoCal Gas.  As stated by IS (Initial Comments at p. 19):</w:t>
      </w:r>
    </w:p>
    <w:p>
      <w:pPr>
        <w:pStyle w:val="Normal"/>
        <w:spacing w:before="0" w:after="120"/>
        <w:ind w:start="720" w:end="720"/>
        <w:rPr/>
      </w:pPr>
      <w:r>
        <w:rPr/>
        <w:t xml:space="preserve">[T]he assignment of capacity to individual receipt points would not negatively impact liquidity because gas could still be nominated to and sold out of pools in the supply basins.  If properly configured, the shipper would have the option to nominate from a pool or from a receipt point.  </w:t>
      </w:r>
    </w:p>
    <w:p>
      <w:pPr>
        <w:pStyle w:val="Normal"/>
        <w:spacing w:lineRule="auto" w:line="480" w:before="0" w:after="120"/>
        <w:ind w:firstLine="720" w:end="0"/>
        <w:rPr/>
      </w:pPr>
      <w:r>
        <w:rPr/>
        <w:t>The Strawman Alternative does just what the Indicated Shippers have said they desire and it does it now, not 18 months hence.  In addition, the Mainline Capacity Allocation proposal, coupled with the Receipt Capacity Allocation proposal and In-Line Pooling, will lead to the segmentation capability that the Indicated Shippers have also put at the top of their requirements list (Initial Comments at p.19).</w:t>
      </w:r>
      <w:r>
        <w:br w:type="page"/>
      </w:r>
    </w:p>
    <w:p>
      <w:pPr>
        <w:pStyle w:val="Normal"/>
        <w:spacing w:lineRule="auto" w:line="480" w:before="0" w:after="120"/>
        <w:jc w:val="center"/>
        <w:rPr>
          <w:b/>
          <w:bCs/>
        </w:rPr>
      </w:pPr>
      <w:r>
        <w:rPr>
          <w:b/>
          <w:bCs/>
        </w:rPr>
        <w:t>IV.</w:t>
      </w:r>
    </w:p>
    <w:p>
      <w:pPr>
        <w:pStyle w:val="Normal"/>
        <w:spacing w:lineRule="auto" w:line="480" w:before="0" w:after="120"/>
        <w:jc w:val="center"/>
        <w:rPr>
          <w:b/>
          <w:bCs/>
        </w:rPr>
      </w:pPr>
      <w:r>
        <w:rPr>
          <w:b/>
          <w:bCs/>
        </w:rPr>
        <w:t>SUPPORTING MATERIALS</w:t>
      </w:r>
    </w:p>
    <w:p>
      <w:pPr>
        <w:pStyle w:val="Normal"/>
        <w:spacing w:lineRule="auto" w:line="480" w:before="0" w:after="120"/>
        <w:rPr/>
      </w:pPr>
      <w:r>
        <w:rPr>
          <w:b/>
          <w:bCs/>
        </w:rPr>
        <w:tab/>
      </w:r>
      <w:r>
        <w:rPr/>
        <w:t>As referenced above, the following materials explain in more detail or illustrate by example the methodologies presented in the Strawman Alternative:</w:t>
      </w:r>
    </w:p>
    <w:p>
      <w:pPr>
        <w:pStyle w:val="Normal"/>
        <w:spacing w:lineRule="auto" w:line="480" w:before="0" w:after="120"/>
        <w:rPr>
          <w:b/>
          <w:bCs/>
        </w:rPr>
      </w:pPr>
      <w:r>
        <w:rPr>
          <w:b/>
          <w:bCs/>
        </w:rPr>
        <w:t>Attachment 1</w:t>
        <w:tab/>
        <w:tab/>
        <w:t>Explanation of Mainline Capacity Allocation Methodology</w:t>
      </w:r>
    </w:p>
    <w:p>
      <w:pPr>
        <w:pStyle w:val="Normal"/>
        <w:spacing w:lineRule="auto" w:line="480" w:before="0" w:after="120"/>
        <w:rPr>
          <w:b/>
          <w:bCs/>
        </w:rPr>
      </w:pPr>
      <w:r>
        <w:rPr>
          <w:b/>
          <w:bCs/>
        </w:rPr>
        <w:t>Attachment 2</w:t>
        <w:tab/>
        <w:tab/>
        <w:t>Physical Westward Capacity from Cornudas With L 2000</w:t>
      </w:r>
    </w:p>
    <w:p>
      <w:pPr>
        <w:pStyle w:val="Normal"/>
        <w:spacing w:lineRule="auto" w:line="480" w:before="0" w:after="120"/>
        <w:rPr>
          <w:b/>
          <w:bCs/>
        </w:rPr>
      </w:pPr>
      <w:r>
        <w:rPr>
          <w:b/>
          <w:bCs/>
        </w:rPr>
        <w:t>Attachment 3</w:t>
        <w:tab/>
        <w:tab/>
        <w:t>Physical Westward Capacity from Window Rock</w:t>
      </w:r>
    </w:p>
    <w:p>
      <w:pPr>
        <w:pStyle w:val="Normal"/>
        <w:ind w:hanging="2160" w:start="2160" w:end="0"/>
        <w:rPr>
          <w:b/>
          <w:bCs/>
        </w:rPr>
      </w:pPr>
      <w:r>
        <w:rPr>
          <w:b/>
          <w:bCs/>
        </w:rPr>
        <w:t>Attachment 4</w:t>
        <w:tab/>
        <w:t>Total Westward Capacity With L 2000, Allocable to Westward Shippers</w:t>
      </w:r>
    </w:p>
    <w:p>
      <w:pPr>
        <w:pStyle w:val="Normal"/>
        <w:ind w:hanging="2160" w:start="2160" w:end="0"/>
        <w:rPr>
          <w:b/>
          <w:bCs/>
        </w:rPr>
      </w:pPr>
      <w:r>
        <w:rPr>
          <w:b/>
          <w:bCs/>
        </w:rPr>
      </w:r>
    </w:p>
    <w:p>
      <w:pPr>
        <w:pStyle w:val="Normal"/>
        <w:ind w:hanging="2160" w:start="2160" w:end="0"/>
        <w:rPr>
          <w:b/>
          <w:bCs/>
        </w:rPr>
      </w:pPr>
      <w:r>
        <w:rPr>
          <w:b/>
          <w:bCs/>
        </w:rPr>
        <w:t>Attachment 5</w:t>
        <w:tab/>
        <w:t>Total Westward Capacity Shortfall With L 2000, Allocable to Westward Shippers</w:t>
      </w:r>
    </w:p>
    <w:p>
      <w:pPr>
        <w:pStyle w:val="Normal"/>
        <w:ind w:hanging="2160" w:start="2160" w:end="0"/>
        <w:rPr>
          <w:b/>
          <w:bCs/>
        </w:rPr>
      </w:pPr>
      <w:r>
        <w:rPr>
          <w:b/>
          <w:bCs/>
        </w:rPr>
      </w:r>
    </w:p>
    <w:p>
      <w:pPr>
        <w:pStyle w:val="Normal"/>
        <w:ind w:hanging="2160" w:start="2160" w:end="0"/>
        <w:rPr>
          <w:b/>
          <w:bCs/>
        </w:rPr>
      </w:pPr>
      <w:r>
        <w:rPr>
          <w:b/>
          <w:bCs/>
        </w:rPr>
        <w:t>Attachment 6</w:t>
        <w:tab/>
        <w:t>Physical Westward Capacity from Cornudas With Deduction of "Single Basin" (i.e., non-San Juan) Receipt Capacities</w:t>
      </w:r>
    </w:p>
    <w:p>
      <w:pPr>
        <w:pStyle w:val="Normal"/>
        <w:ind w:hanging="2160" w:start="2160" w:end="0"/>
        <w:rPr>
          <w:b/>
          <w:bCs/>
        </w:rPr>
      </w:pPr>
      <w:r>
        <w:rPr>
          <w:b/>
          <w:bCs/>
        </w:rPr>
      </w:r>
    </w:p>
    <w:p>
      <w:pPr>
        <w:pStyle w:val="Normal"/>
        <w:ind w:hanging="2160" w:start="2160" w:end="0"/>
        <w:rPr>
          <w:b/>
          <w:bCs/>
        </w:rPr>
      </w:pPr>
      <w:r>
        <w:rPr>
          <w:b/>
          <w:bCs/>
        </w:rPr>
        <w:t>Attachment 7</w:t>
        <w:tab/>
        <w:t>Physical Westward Capacity from Window Rock (San Juan) with Deduction of "Single Basin" (i.e., FT-2) Receipt Capacities</w:t>
      </w:r>
    </w:p>
    <w:p>
      <w:pPr>
        <w:pStyle w:val="Normal"/>
        <w:ind w:hanging="2160" w:start="2160" w:end="0"/>
        <w:rPr>
          <w:b/>
          <w:bCs/>
        </w:rPr>
      </w:pPr>
      <w:r>
        <w:rPr>
          <w:b/>
          <w:bCs/>
        </w:rPr>
      </w:r>
    </w:p>
    <w:p>
      <w:pPr>
        <w:pStyle w:val="Normal"/>
        <w:ind w:hanging="2160" w:start="2160" w:end="0"/>
        <w:rPr>
          <w:b/>
          <w:bCs/>
        </w:rPr>
      </w:pPr>
      <w:r>
        <w:rPr>
          <w:b/>
          <w:bCs/>
        </w:rPr>
        <w:t>Attachment 8</w:t>
        <w:tab/>
        <w:t>Total Westward Mainline Physical Capacity With L 2000 After "Single Basin" Contract Deduction</w:t>
      </w:r>
    </w:p>
    <w:p>
      <w:pPr>
        <w:pStyle w:val="Normal"/>
        <w:ind w:hanging="2160" w:start="2160" w:end="0"/>
        <w:rPr>
          <w:b/>
          <w:bCs/>
        </w:rPr>
      </w:pPr>
      <w:r>
        <w:rPr>
          <w:b/>
          <w:bCs/>
        </w:rPr>
      </w:r>
    </w:p>
    <w:p>
      <w:pPr>
        <w:pStyle w:val="Normal"/>
        <w:spacing w:lineRule="auto" w:line="480" w:before="0" w:after="120"/>
        <w:ind w:hanging="2160" w:start="2160" w:end="0"/>
        <w:rPr>
          <w:b/>
          <w:bCs/>
        </w:rPr>
      </w:pPr>
      <w:r>
        <w:rPr>
          <w:b/>
          <w:bCs/>
        </w:rPr>
        <w:t>Attachment 9</w:t>
        <w:tab/>
        <w:t>FT Shipper's "Minimum Basin Entitlement" Percentage</w:t>
      </w:r>
    </w:p>
    <w:p>
      <w:pPr>
        <w:pStyle w:val="Normal"/>
        <w:ind w:hanging="2160" w:start="2160" w:end="0"/>
        <w:rPr>
          <w:b/>
          <w:bCs/>
        </w:rPr>
      </w:pPr>
      <w:r>
        <w:rPr>
          <w:b/>
          <w:bCs/>
        </w:rPr>
        <w:t>Attachment 10</w:t>
        <w:tab/>
        <w:t xml:space="preserve">Total Westward Capacity Mainline Pool Percentages of Mainline Capacity With L 2000 </w:t>
      </w:r>
    </w:p>
    <w:p>
      <w:pPr>
        <w:pStyle w:val="Normal"/>
        <w:ind w:hanging="2160" w:start="2160" w:end="0"/>
        <w:rPr>
          <w:b/>
          <w:bCs/>
        </w:rPr>
      </w:pPr>
      <w:r>
        <w:rPr>
          <w:b/>
          <w:bCs/>
        </w:rPr>
      </w:r>
    </w:p>
    <w:p>
      <w:pPr>
        <w:pStyle w:val="Normal"/>
        <w:spacing w:lineRule="auto" w:line="480" w:before="0" w:after="120"/>
        <w:ind w:hanging="2160" w:start="2160" w:end="0"/>
        <w:rPr>
          <w:b/>
          <w:bCs/>
        </w:rPr>
      </w:pPr>
      <w:r>
        <w:rPr>
          <w:b/>
          <w:bCs/>
        </w:rPr>
        <w:t>Attachment 11</w:t>
        <w:tab/>
        <w:t>Allocation Methodology Applied To Hypothetical FT Shippers</w:t>
      </w:r>
    </w:p>
    <w:p>
      <w:pPr>
        <w:pStyle w:val="Normal"/>
        <w:spacing w:lineRule="auto" w:line="480" w:before="0" w:after="120"/>
        <w:ind w:hanging="2160" w:start="2160" w:end="0"/>
        <w:rPr>
          <w:b/>
          <w:bCs/>
        </w:rPr>
      </w:pPr>
      <w:r>
        <w:rPr>
          <w:b/>
          <w:bCs/>
        </w:rPr>
        <w:t>Attachment 12</w:t>
        <w:tab/>
        <w:t>Reservation Charge Credit Methodology</w:t>
      </w:r>
    </w:p>
    <w:p>
      <w:pPr>
        <w:pStyle w:val="Normal"/>
        <w:spacing w:lineRule="auto" w:line="480" w:before="0" w:after="120"/>
        <w:ind w:hanging="2160" w:start="2160" w:end="0"/>
        <w:rPr>
          <w:b/>
          <w:bCs/>
        </w:rPr>
      </w:pPr>
      <w:r>
        <w:rPr>
          <w:b/>
          <w:bCs/>
        </w:rPr>
        <w:t>Attachment 13</w:t>
        <w:tab/>
        <w:t>Shortfall of FR Converting Shippers vs. Five-Year High NCP</w:t>
      </w:r>
      <w:r>
        <w:br w:type="page"/>
      </w:r>
    </w:p>
    <w:p>
      <w:pPr>
        <w:pStyle w:val="Normal"/>
        <w:spacing w:lineRule="auto" w:line="480" w:before="0" w:after="120"/>
        <w:ind w:hanging="2160" w:start="2160" w:end="0"/>
        <w:jc w:val="center"/>
        <w:rPr>
          <w:b/>
          <w:bCs/>
        </w:rPr>
      </w:pPr>
      <w:r>
        <w:rPr>
          <w:b/>
          <w:bCs/>
        </w:rPr>
        <w:t>V.</w:t>
      </w:r>
    </w:p>
    <w:p>
      <w:pPr>
        <w:pStyle w:val="Normal"/>
        <w:spacing w:lineRule="auto" w:line="480" w:before="0" w:after="120"/>
        <w:ind w:firstLine="720" w:end="0"/>
        <w:rPr/>
      </w:pPr>
      <w:r>
        <w:rPr/>
        <w:t>WHEREFORE, for the foregoing reasons, Salt River Project respectfully requests the Commission to adopt the Strawman Alternative as the basis for a merits decision defining the principles upon which El Paso's firm capacity would be allocated.  In so doing, the Commission will have brought certainty, reliability, and flexibility to firm service on the El Paso system, and closure to the contentious capacity issues raised by the above-captioned proceedings. In the alternative, the Commission should initiate expeditious procedures as more fully discussed above.</w:t>
      </w:r>
    </w:p>
    <w:p>
      <w:pPr>
        <w:pStyle w:val="Normal"/>
        <w:spacing w:lineRule="auto" w:line="480" w:before="0" w:after="120"/>
        <w:ind w:firstLine="720" w:end="0"/>
        <w:rPr/>
      </w:pPr>
      <w:r>
        <w:rPr/>
        <w:tab/>
        <w:tab/>
        <w:tab/>
        <w:tab/>
        <w:tab/>
        <w:tab/>
        <w:t xml:space="preserve">Respectfully submitted, </w:t>
      </w:r>
    </w:p>
    <w:p>
      <w:pPr>
        <w:pStyle w:val="Normal"/>
        <w:spacing w:lineRule="auto" w:line="480" w:before="0" w:after="120"/>
        <w:ind w:firstLine="720" w:end="0"/>
        <w:rPr>
          <w:bCs/>
        </w:rPr>
      </w:pPr>
      <w:r>
        <w:rPr/>
        <w:tab/>
        <w:tab/>
        <w:tab/>
        <w:tab/>
        <w:tab/>
        <w:tab/>
      </w:r>
      <w:r>
        <w:rPr>
          <w:b/>
        </w:rPr>
        <w:t>SALT RIVER PROJECT</w:t>
      </w:r>
    </w:p>
    <w:p>
      <w:pPr>
        <w:pStyle w:val="Normal"/>
        <w:spacing w:before="0" w:after="120"/>
        <w:ind w:firstLine="720" w:end="0"/>
        <w:rPr>
          <w:bCs/>
        </w:rPr>
      </w:pPr>
      <w:r>
        <w:rPr>
          <w:bCs/>
        </w:rPr>
        <w:tab/>
        <w:tab/>
        <w:tab/>
        <w:tab/>
        <w:tab/>
        <w:tab/>
        <w:t>By: ___________________</w:t>
      </w:r>
    </w:p>
    <w:p>
      <w:pPr>
        <w:pStyle w:val="Normal"/>
        <w:ind w:firstLine="720" w:end="0"/>
        <w:rPr>
          <w:bCs/>
        </w:rPr>
      </w:pPr>
      <w:r>
        <w:rPr>
          <w:bCs/>
        </w:rPr>
        <w:tab/>
        <w:tab/>
        <w:tab/>
        <w:tab/>
        <w:tab/>
        <w:tab/>
        <w:tab/>
        <w:t>Joel L. Greene</w:t>
      </w:r>
    </w:p>
    <w:p>
      <w:pPr>
        <w:pStyle w:val="Normal"/>
        <w:ind w:firstLine="720" w:end="0"/>
        <w:rPr>
          <w:bCs/>
        </w:rPr>
      </w:pPr>
      <w:r>
        <w:rPr>
          <w:bCs/>
        </w:rPr>
        <w:tab/>
        <w:tab/>
        <w:tab/>
        <w:tab/>
        <w:tab/>
        <w:tab/>
        <w:tab/>
        <w:t>Energy Advocates, LLP</w:t>
      </w:r>
    </w:p>
    <w:p>
      <w:pPr>
        <w:pStyle w:val="Normal"/>
        <w:ind w:firstLine="720" w:end="0"/>
        <w:rPr>
          <w:bCs/>
        </w:rPr>
      </w:pPr>
      <w:r>
        <w:rPr>
          <w:bCs/>
        </w:rPr>
        <w:tab/>
        <w:tab/>
        <w:tab/>
        <w:tab/>
        <w:tab/>
        <w:tab/>
        <w:tab/>
        <w:t>1500 K Street, N.W.</w:t>
      </w:r>
    </w:p>
    <w:p>
      <w:pPr>
        <w:pStyle w:val="Normal"/>
        <w:ind w:firstLine="720" w:end="0"/>
        <w:rPr>
          <w:bCs/>
        </w:rPr>
      </w:pPr>
      <w:r>
        <w:rPr>
          <w:bCs/>
        </w:rPr>
        <w:tab/>
        <w:tab/>
        <w:tab/>
        <w:tab/>
        <w:tab/>
        <w:tab/>
        <w:tab/>
        <w:t>Suite 330</w:t>
      </w:r>
    </w:p>
    <w:p>
      <w:pPr>
        <w:pStyle w:val="Normal"/>
        <w:ind w:firstLine="720" w:end="0"/>
        <w:rPr>
          <w:bCs/>
        </w:rPr>
      </w:pPr>
      <w:r>
        <w:rPr>
          <w:bCs/>
        </w:rPr>
        <w:tab/>
        <w:tab/>
        <w:tab/>
        <w:tab/>
        <w:tab/>
        <w:tab/>
        <w:tab/>
        <w:t>Washington, D.C.  20005</w:t>
      </w:r>
    </w:p>
    <w:p>
      <w:pPr>
        <w:pStyle w:val="Normal"/>
        <w:spacing w:lineRule="auto" w:line="360"/>
        <w:ind w:firstLine="720" w:end="0"/>
        <w:rPr>
          <w:bCs/>
        </w:rPr>
      </w:pPr>
      <w:r>
        <w:rPr>
          <w:bCs/>
        </w:rPr>
        <w:tab/>
        <w:tab/>
        <w:tab/>
        <w:tab/>
        <w:tab/>
        <w:tab/>
        <w:tab/>
        <w:t>(202) 371-9889</w:t>
      </w:r>
    </w:p>
    <w:p>
      <w:pPr>
        <w:pStyle w:val="Normal"/>
        <w:spacing w:before="0" w:after="120"/>
        <w:ind w:firstLine="720" w:end="0"/>
        <w:rPr>
          <w:bCs/>
        </w:rPr>
      </w:pPr>
      <w:r>
        <w:rPr>
          <w:bCs/>
        </w:rPr>
        <w:tab/>
        <w:tab/>
        <w:tab/>
        <w:tab/>
        <w:tab/>
        <w:tab/>
        <w:tab/>
        <w:t>Counsel</w:t>
      </w:r>
    </w:p>
    <w:p>
      <w:pPr>
        <w:pStyle w:val="Normal"/>
        <w:spacing w:before="0" w:after="120"/>
        <w:ind w:firstLine="720" w:end="0"/>
        <w:rPr>
          <w:bCs/>
        </w:rPr>
      </w:pPr>
      <w:r>
        <w:rPr>
          <w:bCs/>
        </w:rPr>
      </w:r>
    </w:p>
    <w:p>
      <w:pPr>
        <w:pStyle w:val="Normal"/>
        <w:spacing w:before="0" w:after="120"/>
        <w:rPr>
          <w:bCs/>
        </w:rPr>
      </w:pPr>
      <w:r>
        <w:rPr>
          <w:bCs/>
        </w:rPr>
        <w:t>DATED:  November 13, 2001</w:t>
      </w:r>
    </w:p>
    <w:p>
      <w:pPr>
        <w:pStyle w:val="Normal"/>
        <w:spacing w:before="0" w:after="120"/>
        <w:ind w:firstLine="720" w:end="0"/>
        <w:jc w:val="center"/>
        <w:rPr>
          <w:bCs/>
        </w:rPr>
      </w:pPr>
      <w:r>
        <w:rPr>
          <w:bCs/>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As aptly put by the Arizona Corporation Commission (ACC), "Any solution to El Paso's problems must address the contract rights and needs of all shippers on the El Paso system and will require actions on the part of El Paso." (ACC Reply Comments, at p.5) The Strawman Alternative addresses shipper rights and needs, but allocates responsibility for correcting the system among El Paso and all of its shippers.</w:t>
      </w:r>
    </w:p>
  </w:footnote>
  <w:footnote w:id="3">
    <w:p>
      <w:pPr>
        <w:pStyle w:val="FootnoteText"/>
        <w:rPr/>
      </w:pPr>
      <w:r>
        <w:rPr>
          <w:rStyle w:val="FootnoteCharacters"/>
        </w:rPr>
        <w:footnoteRef/>
      </w:r>
      <w:r>
        <w:rPr/>
        <w:t xml:space="preserve"> </w:t>
      </w:r>
      <w:r>
        <w:rPr/>
        <w:t xml:space="preserve">SRP, a Full Requirements shipper, has expended the time and resources to prepare this Strawman Alternative in the hope of assisting the Commission to reinstitute accountability, predictability and flexibility of service on El Paso without the need for evidentiary hearings, and in order that El Paso and all of its shippers can get on with their business of providing reliable electric and gas service.  However, SRP reserves all of the procedural rights it would have in the absence of filing this Strawman Alternative, should the Commission disapprove, or approve subject to condition, any aspect of this filing. </w:t>
      </w:r>
    </w:p>
  </w:footnote>
  <w:footnote w:id="4">
    <w:p>
      <w:pPr>
        <w:pStyle w:val="FootnoteText"/>
        <w:rPr/>
      </w:pPr>
      <w:r>
        <w:rPr>
          <w:rStyle w:val="FootnoteCharacters"/>
        </w:rPr>
        <w:footnoteRef/>
      </w:r>
      <w:r>
        <w:rPr/>
        <w:t xml:space="preserve"> </w:t>
      </w:r>
      <w:r>
        <w:rPr/>
        <w:t>The NCP quantities in Study 5b will be updated prior to December 1, 2001 to reflect the full summer season, i.e. through October 31, 2001, for FT shippers.</w:t>
      </w:r>
    </w:p>
  </w:footnote>
  <w:footnote w:id="5">
    <w:p>
      <w:pPr>
        <w:pStyle w:val="FootnoteText"/>
        <w:rPr/>
      </w:pPr>
      <w:r>
        <w:rPr>
          <w:rStyle w:val="FootnoteCharacters"/>
        </w:rPr>
        <w:footnoteRef/>
      </w:r>
      <w:r>
        <w:rPr/>
        <w:t xml:space="preserve"> </w:t>
      </w:r>
      <w:r>
        <w:rPr/>
        <w:t>SRP is prepared to provide to FERC Staff or to present at a Technical Conference, should one be convened, the results for each FT shipper of the mainline capacity allocation methodology presented herein.</w:t>
      </w:r>
    </w:p>
  </w:footnote>
  <w:footnote w:id="6">
    <w:p>
      <w:pPr>
        <w:pStyle w:val="FootnoteText"/>
        <w:rPr/>
      </w:pPr>
      <w:r>
        <w:rPr>
          <w:rStyle w:val="FootnoteCharacters"/>
        </w:rPr>
        <w:footnoteRef/>
      </w:r>
      <w:r>
        <w:rPr/>
        <w:t xml:space="preserve"> </w:t>
      </w:r>
      <w:r>
        <w:rPr/>
        <w:t>El Paso's March 28 proposal was universally opposed on some basis in the rounds of comments filed in RP00-336-000 et al.</w:t>
      </w:r>
    </w:p>
  </w:footnote>
  <w:footnote w:id="7">
    <w:p>
      <w:pPr>
        <w:pStyle w:val="FootnoteText"/>
        <w:rPr/>
      </w:pPr>
      <w:r>
        <w:rPr>
          <w:rStyle w:val="FootnoteCharacters"/>
        </w:rPr>
        <w:footnoteRef/>
      </w:r>
      <w:r>
        <w:rPr/>
        <w:t xml:space="preserve"> </w:t>
      </w:r>
      <w:r>
        <w:rPr/>
        <w:t xml:space="preserve">Even the most vituperous of commenters, an apparent sticky "caps lock" on the keyboard notwithstanding, proposes a "reasonable" increase over BDs for FR shippers.  IS at pp. 7, 9. </w:t>
      </w:r>
    </w:p>
  </w:footnote>
  <w:footnote w:id="8">
    <w:p>
      <w:pPr>
        <w:pStyle w:val="FootnoteText"/>
        <w:rPr/>
      </w:pPr>
      <w:r>
        <w:rPr>
          <w:rStyle w:val="FootnoteCharacters"/>
        </w:rPr>
        <w:footnoteRef/>
      </w:r>
      <w:r>
        <w:rPr/>
        <w:t xml:space="preserve"> </w:t>
      </w:r>
      <w:r>
        <w:rPr/>
        <w:t>MGI Supply, among others, also propose that the ten-year settlement rates, stranded cost treatment, and El Paso's opportunity to earn the agreed-to cost of service be retained.  The Strawman Alternative leaves the ten-year settlement intact.</w:t>
      </w:r>
    </w:p>
  </w:footnote>
  <w:footnote w:id="9">
    <w:p>
      <w:pPr>
        <w:pStyle w:val="FootnoteText"/>
        <w:rPr/>
      </w:pPr>
      <w:r>
        <w:rPr>
          <w:rStyle w:val="FootnoteCharacters"/>
        </w:rPr>
        <w:footnoteRef/>
      </w:r>
      <w:r>
        <w:rPr/>
        <w:t xml:space="preserve"> </w:t>
      </w:r>
      <w:r>
        <w:rPr>
          <w:i/>
          <w:iCs/>
        </w:rPr>
        <w:t>See</w:t>
      </w:r>
      <w:r>
        <w:rPr/>
        <w:t xml:space="preserve"> Initial comments of FR shipper, El Paso Electric Company (at p.8), requesting that if a merits decision is to be issued, the Commission preferably allocate mainline capacity on the basis of the most recent 12-month NCP; failing that, on the basis of the average of the last five years' NCP.  The Strawman Alternative averages both options, thereby recognizing FR actual historical usage weighted to the present.</w:t>
      </w:r>
    </w:p>
  </w:footnote>
  <w:footnote w:id="10">
    <w:p>
      <w:pPr>
        <w:pStyle w:val="FootnoteText"/>
        <w:rPr/>
      </w:pPr>
      <w:r>
        <w:rPr>
          <w:rStyle w:val="FootnoteCharacters"/>
        </w:rPr>
        <w:footnoteRef/>
      </w:r>
      <w:r>
        <w:rPr/>
        <w:t xml:space="preserve"> </w:t>
      </w:r>
      <w:r>
        <w:rPr/>
        <w:t>The figures showing these company shortfalls against available maximum NCP data are contained in Attachment 13 hereto.</w:t>
      </w:r>
    </w:p>
  </w:footnote>
  <w:footnote w:id="11">
    <w:p>
      <w:pPr>
        <w:pStyle w:val="FootnoteText"/>
        <w:rPr/>
      </w:pPr>
      <w:r>
        <w:rPr>
          <w:rStyle w:val="FootnoteCharacters"/>
        </w:rPr>
        <w:footnoteRef/>
      </w:r>
      <w:r>
        <w:rPr/>
        <w:t xml:space="preserve"> </w:t>
      </w:r>
      <w:r>
        <w:rPr/>
        <w:t>Enron, El Paso Electric, SoCal Gas.</w:t>
      </w:r>
    </w:p>
  </w:footnote>
  <w:footnote w:id="12">
    <w:p>
      <w:pPr>
        <w:pStyle w:val="FootnoteText"/>
        <w:rPr/>
      </w:pPr>
      <w:r>
        <w:rPr>
          <w:rStyle w:val="FootnoteCharacters"/>
        </w:rPr>
        <w:footnoteRef/>
      </w:r>
      <w:r>
        <w:rPr/>
        <w:t xml:space="preserve"> </w:t>
      </w:r>
      <w:r>
        <w:rPr/>
        <w:t>IS, MGI Supply, Southern California Generation Coalition, EOC Shippers, Pacific Gas &amp; Electric (PG&amp;E), Williams, Enron, and SoCal Gas (after capacity rationalization process).</w:t>
      </w:r>
    </w:p>
  </w:footnote>
  <w:footnote w:id="13">
    <w:p>
      <w:pPr>
        <w:pStyle w:val="FootnoteText"/>
        <w:rPr/>
      </w:pPr>
      <w:r>
        <w:rPr>
          <w:rStyle w:val="FootnoteCharacters"/>
        </w:rPr>
        <w:footnoteRef/>
      </w:r>
      <w:r>
        <w:rPr/>
        <w:t xml:space="preserve"> </w:t>
      </w:r>
      <w:r>
        <w:rPr/>
        <w:t>That is: Westward Mainline Capacity for Westward FT shippers, and Eastward Contract MDQ for Eastward FT shippers.</w:t>
      </w:r>
    </w:p>
  </w:footnote>
  <w:footnote w:id="14">
    <w:p>
      <w:pPr>
        <w:pStyle w:val="Normal"/>
        <w:rPr/>
      </w:pPr>
      <w:r>
        <w:rPr>
          <w:rStyle w:val="FootnoteCharacters"/>
        </w:rPr>
        <w:footnoteRef/>
      </w:r>
      <w:r>
        <w:rPr>
          <w:sz w:val="20"/>
        </w:rPr>
        <w:t xml:space="preserve"> “</w:t>
      </w:r>
      <w:r>
        <w:rPr>
          <w:sz w:val="20"/>
        </w:rPr>
        <w:t xml:space="preserve">One for one” means that for each confirmed but unscheduled or undelivered Dth of gas (whichever is greater) that was not provided by El Paso after taking into consideration the conditions set forth above, El Paso will provide one unit of credit to the subject shipper.  A unit of credit is the 100% load factor equivalent of the dollars paid by the subject shipper in a month for the subject capacity calculated as follows:  Total dollars paid for the total capacity in the contract containing the unprovided capacity divided by the Total Mainline Capacity (or Contract MDQ, as applicable) times the product, to five decimal places, resulting from dividing the number of months in the subject season by the number of days in that season. </w:t>
      </w:r>
      <w:r>
        <w:rPr>
          <w:i/>
          <w:iCs/>
          <w:sz w:val="20"/>
        </w:rPr>
        <w:t>See</w:t>
      </w:r>
      <w:r>
        <w:rPr>
          <w:sz w:val="20"/>
        </w:rPr>
        <w:t xml:space="preserve"> Attachment C for illustration of reservation charge credit methodology.</w:t>
      </w:r>
    </w:p>
  </w:footnote>
  <w:footnote w:id="15">
    <w:p>
      <w:pPr>
        <w:pStyle w:val="FootnoteText"/>
        <w:rPr/>
      </w:pPr>
      <w:r>
        <w:rPr>
          <w:rStyle w:val="FootnoteCharacters"/>
        </w:rPr>
        <w:footnoteRef/>
      </w:r>
      <w:r>
        <w:rPr/>
        <w:t xml:space="preserve"> </w:t>
      </w:r>
      <w:r>
        <w:rPr/>
        <w:t xml:space="preserve">A Shipper’s under-take of scheduled quantities would not be permitted to create eligibility for Reservation Credits nor would a Supplier’s under-delivery create Reservation Charge Credit eligibility.  </w:t>
      </w:r>
    </w:p>
  </w:footnote>
  <w:footnote w:id="16">
    <w:p>
      <w:pPr>
        <w:pStyle w:val="FootnoteText"/>
        <w:rPr/>
      </w:pPr>
      <w:r>
        <w:rPr>
          <w:rStyle w:val="FootnoteCharacters"/>
        </w:rPr>
        <w:footnoteRef/>
      </w:r>
      <w:r>
        <w:rPr/>
        <w:t xml:space="preserve"> </w:t>
      </w:r>
      <w:r>
        <w:rPr/>
        <w:t xml:space="preserve">IS, MGI Supply, SoCal Gas, Dynegy, ONEOK. </w:t>
      </w:r>
    </w:p>
  </w:footnote>
  <w:footnote w:id="17">
    <w:p>
      <w:pPr>
        <w:pStyle w:val="FootnoteText"/>
        <w:rPr/>
      </w:pPr>
      <w:r>
        <w:rPr>
          <w:rStyle w:val="FootnoteCharacters"/>
        </w:rPr>
        <w:footnoteRef/>
      </w:r>
      <w:r>
        <w:rPr/>
        <w:t xml:space="preserve"> </w:t>
      </w:r>
      <w:r>
        <w:rPr/>
        <w:t>Continuation of this scheduling priority beyond the time when the capacity shortfall is eliminated is a matter that should be addressed prior to the end of the Capacity Shortfall period.</w:t>
      </w:r>
    </w:p>
  </w:footnote>
  <w:footnote w:id="18">
    <w:p>
      <w:pPr>
        <w:pStyle w:val="FootnoteText"/>
        <w:rPr/>
      </w:pPr>
      <w:r>
        <w:rPr>
          <w:rStyle w:val="FootnoteCharacters"/>
        </w:rPr>
        <w:footnoteRef/>
      </w:r>
      <w:r>
        <w:rPr/>
        <w:t xml:space="preserve"> </w:t>
      </w:r>
      <w:r>
        <w:rPr>
          <w:i/>
          <w:iCs/>
        </w:rPr>
        <w:t>See</w:t>
      </w:r>
      <w:r>
        <w:rPr/>
        <w:t xml:space="preserve"> Initial Comments of Sid Richardson, Williams, Duke Energy Trading and Marketing, IS, Aquila Energy Marketing Corp., Dynegy, PG&amp;E Energy Trading-Gas Corp., and ONEOK.</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420"/>
        </w:tabs>
        <w:ind w:start="420" w:hanging="360"/>
      </w:pPr>
      <w:rPr/>
    </w:lvl>
  </w:abstractNum>
  <w:abstractNum w:abstractNumId="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aps/>
      <w:u w:val="single"/>
    </w:rPr>
  </w:style>
  <w:style w:type="paragraph" w:styleId="Heading2">
    <w:name w:val="heading 2"/>
    <w:basedOn w:val="Normal"/>
    <w:next w:val="Normal"/>
    <w:qFormat/>
    <w:pPr>
      <w:keepNext w:val="true"/>
      <w:numPr>
        <w:ilvl w:val="1"/>
        <w:numId w:val="1"/>
      </w:numPr>
      <w:ind w:hanging="0" w:start="4320" w:end="0"/>
      <w:outlineLvl w:val="1"/>
    </w:pPr>
    <w:rPr>
      <w:rFonts w:ascii="Arial" w:hAnsi="Arial" w:cs="Arial"/>
      <w:b/>
      <w:sz w:val="20"/>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ind w:firstLine="720" w:start="5040" w:end="0"/>
      <w:outlineLvl w:val="3"/>
    </w:pPr>
    <w:rPr>
      <w:b/>
      <w:sz w:val="44"/>
    </w:rPr>
  </w:style>
  <w:style w:type="character" w:styleId="WW8Num1z0">
    <w:name w:val="WW8Num1z0"/>
    <w:qFormat/>
    <w:rPr>
      <w:b/>
    </w:rPr>
  </w:style>
  <w:style w:type="character" w:styleId="WW8Num2z0">
    <w:name w:val="WW8Num2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SRP Intervention (FERC)</Template>
  <TotalTime>365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2001-11-12T11:27:00Z</dcterms:created>
  <dc:creator>Terry Goddard</dc:creator>
  <dc:description/>
  <dc:language>en-CA</dc:language>
  <cp:lastModifiedBy>Joel Greene</cp:lastModifiedBy>
  <cp:lastPrinted>2001-11-12T13:28:00Z</cp:lastPrinted>
  <dcterms:modified xsi:type="dcterms:W3CDTF">2001-11-12T19:34:00Z</dcterms:modified>
  <cp:revision>28</cp:revision>
  <dc:subject/>
  <dc:title>UNITED STATES OF AMERICA</dc:title>
</cp:coreProperties>
</file>