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ind w:start="-720" w:end="-720"/>
        <w:rPr/>
      </w:pPr>
      <w:r>
        <w:rPr/>
      </w:r>
    </w:p>
    <w:p>
      <w:pPr>
        <w:pStyle w:val="Normal"/>
        <w:ind w:start="-360" w:end="-360"/>
        <w:rPr/>
      </w:pPr>
      <w:r>
        <w:rPr/>
      </w:r>
    </w:p>
    <w:p>
      <w:pPr>
        <w:pStyle w:val="Normal"/>
        <w:ind w:start="-360" w:end="-360"/>
        <w:rPr/>
      </w:pPr>
      <w:r>
        <w:rPr/>
      </w:r>
    </w:p>
    <w:p>
      <w:pPr>
        <w:pStyle w:val="Normal"/>
        <w:ind w:start="-360" w:end="-360"/>
        <w:rPr/>
      </w:pPr>
      <w:r>
        <w:rPr/>
      </w:r>
    </w:p>
    <w:p>
      <w:pPr>
        <w:pStyle w:val="Normal"/>
        <w:ind w:start="-360" w:end="-360"/>
        <w:rPr/>
      </w:pPr>
      <w:r>
        <w:rPr/>
        <w:t>November 12, 2001</w:t>
      </w:r>
    </w:p>
    <w:p>
      <w:pPr>
        <w:pStyle w:val="Normal"/>
        <w:ind w:start="-360" w:end="-360"/>
        <w:rPr/>
      </w:pPr>
      <w:r>
        <w:rPr/>
      </w:r>
    </w:p>
    <w:p>
      <w:pPr>
        <w:pStyle w:val="Normal"/>
        <w:ind w:start="-360" w:end="-360"/>
        <w:rPr/>
      </w:pPr>
      <w:r>
        <w:rPr/>
        <w:t>Salt River Project Agricultural Improvement and Power District</w:t>
      </w:r>
    </w:p>
    <w:p>
      <w:pPr>
        <w:pStyle w:val="Normal"/>
        <w:ind w:start="-360" w:end="-360"/>
        <w:rPr/>
      </w:pPr>
      <w:r>
        <w:rPr/>
        <w:t>c/o Corporate Secretary, PAB 215</w:t>
      </w:r>
    </w:p>
    <w:p>
      <w:pPr>
        <w:pStyle w:val="Normal"/>
        <w:ind w:start="-360" w:end="-360"/>
        <w:rPr/>
      </w:pPr>
      <w:r>
        <w:rPr/>
        <w:t>PO Box 52025</w:t>
      </w:r>
    </w:p>
    <w:p>
      <w:pPr>
        <w:pStyle w:val="Normal"/>
        <w:ind w:start="-360" w:end="-360"/>
        <w:rPr/>
      </w:pPr>
      <w:r>
        <w:rPr/>
        <w:t>Phoenix, AZ  85072-2025</w:t>
      </w:r>
    </w:p>
    <w:p>
      <w:pPr>
        <w:pStyle w:val="Normal"/>
        <w:ind w:start="-360" w:end="-360"/>
        <w:rPr/>
      </w:pPr>
      <w:r>
        <w:rPr/>
      </w:r>
    </w:p>
    <w:p>
      <w:pPr>
        <w:pStyle w:val="Normal"/>
        <w:ind w:start="-360" w:end="-360"/>
        <w:rPr/>
      </w:pPr>
      <w:r>
        <w:rPr/>
        <w:t>Delivered via fax: 602.236.3458</w:t>
      </w:r>
    </w:p>
    <w:p>
      <w:pPr>
        <w:pStyle w:val="Normal"/>
        <w:ind w:start="-360" w:end="-360"/>
        <w:rPr/>
      </w:pPr>
      <w:r>
        <w:rPr/>
      </w:r>
    </w:p>
    <w:p>
      <w:pPr>
        <w:pStyle w:val="Normal"/>
        <w:ind w:start="-360" w:end="-360"/>
        <w:rPr/>
      </w:pPr>
      <w:r>
        <w:rPr/>
        <w:t xml:space="preserve">RE:  Margin Dispute under Firm Wholesale Power Agreement </w:t>
      </w:r>
    </w:p>
    <w:p>
      <w:pPr>
        <w:pStyle w:val="Normal"/>
        <w:ind w:start="-360" w:end="-360"/>
        <w:rPr/>
      </w:pPr>
      <w:r>
        <w:rPr/>
      </w:r>
    </w:p>
    <w:p>
      <w:pPr>
        <w:pStyle w:val="Normal"/>
        <w:ind w:start="-360" w:end="-360"/>
        <w:rPr/>
      </w:pPr>
      <w:r>
        <w:rPr/>
        <w:t>To Corporate Secretary:</w:t>
      </w:r>
    </w:p>
    <w:p>
      <w:pPr>
        <w:pStyle w:val="Normal"/>
        <w:ind w:start="-360" w:end="-360"/>
        <w:rPr/>
      </w:pPr>
      <w:r>
        <w:rPr/>
      </w:r>
    </w:p>
    <w:p>
      <w:pPr>
        <w:pStyle w:val="Normal"/>
        <w:ind w:start="-360" w:end="-360"/>
        <w:rPr/>
      </w:pPr>
      <w:r>
        <w:rPr/>
        <w:t>This letter is in response to your letter dated November 9, 2001 rejecting EPMI’s request that SRP’s Authorized Representative contact EPMI’s Authorized Representative to resolve our dispute regarding the collateral provisions of the Firm Wholesale Power Agreement dated October 30, 1998 (“Agreement”).</w:t>
      </w:r>
    </w:p>
    <w:p>
      <w:pPr>
        <w:pStyle w:val="Normal"/>
        <w:ind w:start="-360" w:end="-360"/>
        <w:rPr/>
      </w:pPr>
      <w:r>
        <w:rPr/>
      </w:r>
    </w:p>
    <w:p>
      <w:pPr>
        <w:pStyle w:val="Normal"/>
        <w:ind w:start="-360" w:end="-360"/>
        <w:rPr/>
      </w:pPr>
      <w:r>
        <w:rPr/>
        <w:t>EPMI concurs with your statement that the Agreement “requires prompt delivery of collateral.”  But that is not the issue.  Rather, the question is whether SRP is entitled under the Agreement to demand collateral in light of the recent news surrounding Enron Corp.  SRP contends that it has the right to call for collateral based upon Enron’s recent credit downgrades and declining stock price.  As explained in our earlier letters, however, SRP is entitled to demand collateral only upon the occurrence of a Material Adverse Change, i.e., a credit downgrade resulting in a below investment-grade credit rating, as specifically set forth in section 27.5 of the Agreement.</w:t>
      </w:r>
    </w:p>
    <w:p>
      <w:pPr>
        <w:pStyle w:val="Normal"/>
        <w:ind w:start="-360" w:end="-360"/>
        <w:rPr/>
      </w:pPr>
      <w:r>
        <w:rPr/>
      </w:r>
    </w:p>
    <w:p>
      <w:pPr>
        <w:pStyle w:val="Normal"/>
        <w:ind w:start="-360" w:end="-360"/>
        <w:rPr/>
      </w:pPr>
      <w:r>
        <w:rPr/>
        <w:t xml:space="preserve">We strenuously disagree with SRP’s interpretation, which if true would make section 27.5 redundant.  Please consider this:  If SRP can call for additional collateral because of a credit downgrade that leaves Enron Corp. at investment grade, why would there be a clause authorizing SRP to demand additional collateral upon a credit downgrade that puts Enron Corp. </w:t>
      </w:r>
      <w:r>
        <w:rPr>
          <w:i/>
          <w:iCs/>
        </w:rPr>
        <w:t>below</w:t>
      </w:r>
      <w:r>
        <w:rPr/>
        <w:t xml:space="preserve"> investment grade status?  The reasonable explanation is that the Agreement does not entitle SRP to request additional collateral beyond that necessary to establish creditworthiness, absent a Material Adverse Change.  I invite SRP to provide an explanation that does not render section 27.5 redundant.</w:t>
      </w:r>
    </w:p>
    <w:p>
      <w:pPr>
        <w:pStyle w:val="Normal"/>
        <w:ind w:start="-360" w:end="-360"/>
        <w:rPr/>
      </w:pPr>
      <w:r>
        <w:rPr/>
      </w:r>
    </w:p>
    <w:p>
      <w:pPr>
        <w:pStyle w:val="Normal"/>
        <w:ind w:start="-360" w:end="-360"/>
        <w:rPr/>
      </w:pPr>
      <w:r>
        <w:rPr/>
        <w:t xml:space="preserve">As you may have seen in the news, Enron Corp. has announced its intention to merge with Dynegy, Inc.  Dynegy and Chevron/Texaco have agreed to provide $1.5 billion of cash, which will be transferred to Enron Corp. tomorrow.  Enron’s stock price has stabilized; in fact, our stock price closed up 7% today.  In light of these events, the credit rating agencies continue to rate Enron Corp. as an investment grade company.  SRP should take comfort in the fact that Enron Corp. has restored the confidence of Wall Street. </w:t>
      </w:r>
    </w:p>
    <w:p>
      <w:pPr>
        <w:pStyle w:val="Normal"/>
        <w:ind w:start="-360" w:end="-360"/>
        <w:rPr/>
      </w:pPr>
      <w:r>
        <w:rPr/>
      </w:r>
    </w:p>
    <w:p>
      <w:pPr>
        <w:pStyle w:val="Normal"/>
        <w:ind w:start="-360" w:end="-360"/>
        <w:rPr/>
      </w:pPr>
      <w:r>
        <w:rPr/>
        <w:t xml:space="preserve">It is my hope that these recent, positive developments will encourage SRP to withdraw its demand for collateral.  If, however, SRP continues to adhere to an unconventional interpretation of the Agreement and demand additional collateral, EPMI intends to rely upon the “Disputes” process to resolve this dispute.  In the interim, EPMI will treat any move by SRP to suspend or terminate the Agreement as a wrongful termination and will pursue all appropriate legal remedies and seek full damages arising from such act. </w:t>
      </w:r>
    </w:p>
    <w:p>
      <w:pPr>
        <w:pStyle w:val="Normal"/>
        <w:ind w:start="-360" w:end="-360"/>
        <w:rPr/>
      </w:pPr>
      <w:r>
        <w:rPr/>
        <w:t xml:space="preserve"> </w:t>
      </w:r>
    </w:p>
    <w:p>
      <w:pPr>
        <w:pStyle w:val="Normal"/>
        <w:ind w:start="-360" w:end="-360"/>
        <w:rPr/>
      </w:pPr>
      <w:r>
        <w:rPr/>
        <w:t xml:space="preserve">Along with everyone else at Enron, I am diligently working to restore the confidence of our counterparties during this challenging time.  Accordingly, as always, I remain willing to discuss your concerns at any time, with the hope that we can allay your concerns, amicably resolve this matter, and resume our normal trading relationship.  </w:t>
      </w:r>
    </w:p>
    <w:p>
      <w:pPr>
        <w:pStyle w:val="Normal"/>
        <w:ind w:start="-360" w:end="-360"/>
        <w:rPr/>
      </w:pPr>
      <w:r>
        <w:rPr/>
      </w:r>
    </w:p>
    <w:p>
      <w:pPr>
        <w:pStyle w:val="Normal"/>
        <w:ind w:start="-360" w:end="-360"/>
        <w:rPr/>
      </w:pPr>
      <w:r>
        <w:rPr/>
        <w:t xml:space="preserve">Very truly yours, </w:t>
      </w:r>
    </w:p>
    <w:p>
      <w:pPr>
        <w:pStyle w:val="Normal"/>
        <w:ind w:start="-360" w:end="-360"/>
        <w:rPr/>
      </w:pPr>
      <w:r>
        <w:rPr/>
      </w:r>
    </w:p>
    <w:p>
      <w:pPr>
        <w:pStyle w:val="Normal"/>
        <w:ind w:start="-360" w:end="-360"/>
        <w:rPr/>
      </w:pPr>
      <w:r>
        <w:rPr/>
      </w:r>
    </w:p>
    <w:p>
      <w:pPr>
        <w:pStyle w:val="Normal"/>
        <w:ind w:start="-360" w:end="-360"/>
        <w:rPr/>
      </w:pPr>
      <w:r>
        <w:rPr/>
      </w:r>
    </w:p>
    <w:p>
      <w:pPr>
        <w:pStyle w:val="Normal"/>
        <w:ind w:start="-360" w:end="-360"/>
        <w:rPr/>
      </w:pPr>
      <w:r>
        <w:rPr/>
        <w:t>Tracy Ngo</w:t>
      </w:r>
    </w:p>
    <w:p>
      <w:pPr>
        <w:pStyle w:val="Normal"/>
        <w:ind w:start="-360" w:end="-360"/>
        <w:rPr/>
      </w:pPr>
      <w:r>
        <w:rPr/>
        <w:t>Director</w:t>
      </w:r>
    </w:p>
    <w:p>
      <w:pPr>
        <w:pStyle w:val="Normal"/>
        <w:ind w:start="-360" w:end="-360"/>
        <w:rPr/>
      </w:pPr>
      <w:r>
        <w:rPr/>
        <w:t>Enron Corp. Credit Risk Management</w:t>
      </w:r>
    </w:p>
    <w:p>
      <w:pPr>
        <w:pStyle w:val="Normal"/>
        <w:ind w:start="-360" w:end="-360"/>
        <w:rPr/>
      </w:pPr>
      <w:r>
        <w:rPr/>
      </w:r>
    </w:p>
    <w:p>
      <w:pPr>
        <w:pStyle w:val="Normal"/>
        <w:ind w:start="-360" w:end="-360"/>
        <w:rPr/>
      </w:pPr>
      <w:r>
        <w:rPr/>
        <w:t>cc:  Mark Russell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2001-11-12T22:30:00Z</dcterms:created>
  <dc:creator>shall4</dc:creator>
  <dc:description/>
  <dc:language>en-CA</dc:language>
  <cp:lastModifiedBy>shall4</cp:lastModifiedBy>
  <cp:lastPrinted>2001-11-12T15:41:00Z</cp:lastPrinted>
  <dcterms:modified xsi:type="dcterms:W3CDTF">2001-11-12T22:30:00Z</dcterms:modified>
  <cp:revision>2</cp:revision>
  <dc:subject/>
  <dc:title>We are in receipt of your letter </dc:title>
</cp:coreProperties>
</file>