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4"/>
        <w:ind w:hanging="0" w:start="0"/>
        <w:jc w:val="both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  <w:tab w:val="left" w:pos="142" w:leader="none"/>
          <w:tab w:val="left" w:pos="993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Header"/>
        <w:tabs>
          <w:tab w:val="clear" w:pos="4320"/>
          <w:tab w:val="clear" w:pos="8640"/>
          <w:tab w:val="left" w:pos="142" w:leader="none"/>
          <w:tab w:val="left" w:pos="993" w:leader="none"/>
        </w:tabs>
        <w:spacing w:before="60" w:after="60"/>
        <w:jc w:val="both"/>
        <w:rPr/>
      </w:pPr>
      <w:r>
        <w:rPr>
          <w:rFonts w:cs="Times New Roman" w:ascii="Times New Roman" w:hAnsi="Times New Roman"/>
          <w:b/>
          <w:sz w:val="22"/>
        </w:rPr>
        <w:t>To:</w:t>
      </w:r>
      <w:r>
        <w:rPr>
          <w:rFonts w:cs="Times New Roman" w:ascii="Times New Roman" w:hAnsi="Times New Roman"/>
          <w:sz w:val="22"/>
        </w:rPr>
        <w:tab/>
        <w:t>Jeff Skilling</w:t>
        <w:tab/>
        <w:t xml:space="preserve"> </w:t>
        <w:tab/>
        <w:t>_______________________</w:t>
      </w:r>
    </w:p>
    <w:p>
      <w:pPr>
        <w:pStyle w:val="Header"/>
        <w:tabs>
          <w:tab w:val="clear" w:pos="4320"/>
          <w:tab w:val="clear" w:pos="8640"/>
          <w:tab w:val="left" w:pos="142" w:leader="none"/>
          <w:tab w:val="left" w:pos="993" w:leader="none"/>
        </w:tabs>
        <w:spacing w:before="60" w:after="6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ab/>
        <w:tab/>
        <w:t>Rick Buy</w:t>
        <w:tab/>
        <w:tab/>
        <w:t>________________________</w:t>
      </w:r>
    </w:p>
    <w:p>
      <w:pPr>
        <w:pStyle w:val="Normal"/>
        <w:tabs>
          <w:tab w:val="left" w:pos="142" w:leader="none"/>
          <w:tab w:val="left" w:pos="540" w:leader="none"/>
          <w:tab w:val="left" w:pos="993" w:leader="none"/>
        </w:tabs>
        <w:spacing w:before="60" w:after="60"/>
        <w:jc w:val="both"/>
        <w:rPr/>
      </w:pPr>
      <w:r>
        <w:rPr>
          <w:rFonts w:cs="Times New Roman" w:ascii="Times New Roman" w:hAnsi="Times New Roman"/>
          <w:b/>
          <w:sz w:val="22"/>
        </w:rPr>
        <w:t>From:</w:t>
      </w:r>
      <w:r>
        <w:rPr>
          <w:rFonts w:cs="Times New Roman" w:ascii="Times New Roman" w:hAnsi="Times New Roman"/>
          <w:sz w:val="22"/>
        </w:rPr>
        <w:tab/>
        <w:t>Ted Murphy</w:t>
      </w:r>
    </w:p>
    <w:p>
      <w:pPr>
        <w:pStyle w:val="Normal"/>
        <w:tabs>
          <w:tab w:val="left" w:pos="142" w:leader="none"/>
          <w:tab w:val="left" w:pos="540" w:leader="none"/>
          <w:tab w:val="left" w:pos="993" w:leader="none"/>
        </w:tabs>
        <w:spacing w:before="60" w:after="60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Date:</w:t>
      </w:r>
      <w:r>
        <w:rPr>
          <w:rFonts w:cs="Times New Roman" w:ascii="Times New Roman" w:hAnsi="Times New Roman"/>
          <w:sz w:val="22"/>
        </w:rPr>
        <w:tab/>
        <w:tab/>
        <w:t>September 7</w:t>
      </w:r>
      <w:r>
        <w:rPr>
          <w:rFonts w:cs="Times New Roman" w:ascii="Times New Roman" w:hAnsi="Times New Roman"/>
          <w:sz w:val="22"/>
          <w:vertAlign w:val="superscript"/>
        </w:rPr>
        <w:t>th</w:t>
      </w:r>
      <w:r>
        <w:rPr>
          <w:rFonts w:cs="Times New Roman" w:ascii="Times New Roman" w:hAnsi="Times New Roman"/>
          <w:sz w:val="22"/>
        </w:rPr>
        <w:t>, 2000</w:t>
      </w:r>
    </w:p>
    <w:p>
      <w:pPr>
        <w:pStyle w:val="Normal"/>
        <w:tabs>
          <w:tab w:val="left" w:pos="142" w:leader="none"/>
          <w:tab w:val="left" w:pos="540" w:leader="none"/>
          <w:tab w:val="left" w:pos="993" w:leader="none"/>
        </w:tabs>
        <w:spacing w:before="60" w:after="60"/>
        <w:jc w:val="both"/>
        <w:rPr/>
      </w:pPr>
      <w:r>
        <w:rPr>
          <w:rFonts w:cs="Times New Roman" w:ascii="Times New Roman" w:hAnsi="Times New Roman"/>
          <w:b/>
          <w:sz w:val="22"/>
        </w:rPr>
        <w:t>Subject:</w:t>
      </w:r>
      <w:r>
        <w:rPr>
          <w:rFonts w:cs="Times New Roman" w:ascii="Times New Roman" w:hAnsi="Times New Roman"/>
          <w:sz w:val="22"/>
        </w:rPr>
        <w:tab/>
        <w:t>Request for Interim Policy Authorization – SRM Charter</w:t>
      </w:r>
    </w:p>
    <w:p>
      <w:pPr>
        <w:pStyle w:val="Heading1"/>
        <w:pBdr>
          <w:top w:val="single" w:sz="18" w:space="1" w:color="000000"/>
        </w:pBdr>
        <w:ind w:hanging="0" w:start="0"/>
        <w:jc w:val="both"/>
        <w:rPr>
          <w:rFonts w:ascii="Times New Roman" w:hAnsi="Times New Roman" w:cs="Times New Roman"/>
          <w:b w:val="false"/>
          <w:sz w:val="22"/>
        </w:rPr>
      </w:pPr>
      <w:r>
        <w:rPr>
          <w:rFonts w:cs="Times New Roman"/>
          <w:b w:val="false"/>
          <w:sz w:val="22"/>
        </w:rPr>
      </w:r>
    </w:p>
    <w:p>
      <w:pPr>
        <w:pStyle w:val="Normal"/>
        <w:ind w:hanging="2160" w:start="2160" w:end="0"/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rFonts w:cs="Times New Roman" w:ascii="Times New Roman" w:hAnsi="Times New Roman"/>
          <w:b/>
          <w:sz w:val="22"/>
          <w:u w:val="single"/>
        </w:rPr>
        <w:t>Products:</w:t>
      </w:r>
    </w:p>
    <w:p>
      <w:pPr>
        <w:pStyle w:val="Normal"/>
        <w:ind w:hanging="2160" w:start="2160" w:end="0"/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rFonts w:cs="Times New Roman" w:ascii="Times New Roman" w:hAnsi="Times New Roman"/>
          <w:b/>
          <w:sz w:val="22"/>
          <w:u w:val="single"/>
        </w:rPr>
      </w:r>
    </w:p>
    <w:p>
      <w:pPr>
        <w:pStyle w:val="Normal"/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All those currently approved by the Enron Board of Directors, including those approved under interim policies.</w:t>
      </w:r>
    </w:p>
    <w:p>
      <w:pPr>
        <w:pStyle w:val="Normal"/>
        <w:ind w:hanging="2160" w:start="2160" w:end="0"/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rFonts w:cs="Times New Roman" w:ascii="Times New Roman" w:hAnsi="Times New Roman"/>
          <w:b/>
          <w:sz w:val="22"/>
          <w:u w:val="single"/>
        </w:rPr>
      </w:r>
    </w:p>
    <w:p>
      <w:pPr>
        <w:pStyle w:val="Normal"/>
        <w:ind w:hanging="2160" w:start="2160" w:end="0"/>
        <w:jc w:val="both"/>
        <w:rPr>
          <w:b/>
          <w:sz w:val="22"/>
          <w:u w:val="single"/>
        </w:rPr>
      </w:pPr>
      <w:r>
        <w:rPr>
          <w:rFonts w:cs="Times New Roman" w:ascii="Times New Roman" w:hAnsi="Times New Roman"/>
          <w:b/>
          <w:sz w:val="22"/>
          <w:u w:val="single"/>
        </w:rPr>
        <w:t>Background:</w:t>
      </w:r>
    </w:p>
    <w:p>
      <w:pPr>
        <w:pStyle w:val="Normal"/>
        <w:ind w:hanging="2160" w:start="2160" w:end="0"/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Enron trades and takes positions in many commodities and financial instruments during the ordinary course of its business.</w:t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Relative to other players in our markets, Enron operates in a fairly sophisticated risk management framework. However, the effectiveness of this framework and the extent to which shareholder value is maximised is constrained by:</w:t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The pace of change</w:t>
      </w:r>
      <w:r>
        <w:rPr>
          <w:rFonts w:cs="Times New Roman" w:ascii="Times New Roman" w:hAnsi="Times New Roman"/>
          <w:sz w:val="22"/>
        </w:rPr>
        <w:t xml:space="preserve">. Roles and responsibilities change at a high rate. </w:t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4"/>
        </w:numPr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Accounting framework</w:t>
      </w:r>
      <w:r>
        <w:rPr>
          <w:rFonts w:cs="Times New Roman" w:ascii="Times New Roman" w:hAnsi="Times New Roman"/>
          <w:sz w:val="22"/>
        </w:rPr>
        <w:t>. The method by which gains and losses are taken to the corporate earnings statement creates a heavy focus upon positions whose changes in value are permitted to be taken on a mark-to-market (MTM) basis. As a result, positions that are not treated this way, whilst still carrying economic risk to the firm, are generally not actively managed.</w:t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Reward and incentive structure</w:t>
      </w:r>
      <w:r>
        <w:rPr>
          <w:rFonts w:cs="Times New Roman" w:ascii="Times New Roman" w:hAnsi="Times New Roman"/>
          <w:sz w:val="22"/>
        </w:rPr>
        <w:t>. In relation to the above, the reward structure for commercial groups is such that they are often not fully incentivised to minimise economic losses</w:t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Often, as a result of these aspects of the organisation, major risks in positions, transactions, assets and contracts can be overlooked, forgotten or “orphaned”, and potential value to the firm foregone.</w:t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rFonts w:cs="Times New Roman" w:ascii="Times New Roman" w:hAnsi="Times New Roman"/>
          <w:b/>
          <w:sz w:val="22"/>
          <w:u w:val="single"/>
        </w:rPr>
        <w:t>The Strategic Risk Management (SRM) Group:</w:t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rFonts w:cs="Times New Roman" w:ascii="Times New Roman" w:hAnsi="Times New Roman"/>
          <w:b/>
          <w:sz w:val="22"/>
          <w:u w:val="single"/>
        </w:rPr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The Strategic Risk Management group, an integral but separate group within RAC, has been created to identify, characterise, book and report “orphan” positions within the firm.</w:t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Further, this group will develop, approve and execute strategies aimed at managing these risks down at the optimal economic cost to the firm.</w:t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rFonts w:cs="Times New Roman" w:ascii="Times New Roman" w:hAnsi="Times New Roman"/>
          <w:b/>
          <w:sz w:val="22"/>
          <w:u w:val="single"/>
        </w:rPr>
        <w:t>Vision / Objective:</w:t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rFonts w:cs="Times New Roman" w:ascii="Times New Roman" w:hAnsi="Times New Roman"/>
          <w:b/>
          <w:sz w:val="22"/>
          <w:u w:val="single"/>
        </w:rPr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To provide first class active risk management services to Enron’s business units.</w:t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rFonts w:cs="Times New Roman" w:ascii="Times New Roman" w:hAnsi="Times New Roman"/>
          <w:b/>
          <w:sz w:val="22"/>
          <w:u w:val="single"/>
        </w:rPr>
        <w:t>Code:</w:t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rFonts w:cs="Times New Roman" w:ascii="Times New Roman" w:hAnsi="Times New Roman"/>
          <w:b/>
          <w:sz w:val="22"/>
          <w:u w:val="single"/>
        </w:rPr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The group aims to operate according to a simple code, as follows:</w:t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3"/>
        </w:numPr>
        <w:tabs>
          <w:tab w:val="clear" w:pos="540"/>
          <w:tab w:val="left" w:pos="0" w:leader="none"/>
          <w:tab w:val="left" w:pos="720" w:leader="none"/>
        </w:tabs>
        <w:ind w:hanging="36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Accounting rules are relevant for reported earnings, but irrelevant for risk management purposes, hence all positions will be managed on a mark-to-market basis, regardless of accounting treatment.</w:t>
      </w:r>
    </w:p>
    <w:p>
      <w:pPr>
        <w:pStyle w:val="Normal"/>
        <w:tabs>
          <w:tab w:val="clear" w:pos="540"/>
          <w:tab w:val="left" w:pos="0" w:leader="none"/>
        </w:tabs>
        <w:ind w:start="3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3"/>
        </w:numPr>
        <w:tabs>
          <w:tab w:val="clear" w:pos="540"/>
          <w:tab w:val="left" w:pos="0" w:leader="none"/>
          <w:tab w:val="left" w:pos="720" w:leader="none"/>
        </w:tabs>
        <w:ind w:hanging="36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Activities will be conducted in full compliance with Enron Risk Management policy, including the provisions relating to position definition and reporting.</w:t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3"/>
        </w:numPr>
        <w:tabs>
          <w:tab w:val="clear" w:pos="540"/>
          <w:tab w:val="left" w:pos="0" w:leader="none"/>
          <w:tab w:val="left" w:pos="720" w:leader="none"/>
        </w:tabs>
        <w:ind w:hanging="36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Positions and transactions will be recorded in financial accounting books and records according to Enron Accounting Policies.</w:t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3"/>
        </w:numPr>
        <w:tabs>
          <w:tab w:val="clear" w:pos="540"/>
          <w:tab w:val="left" w:pos="0" w:leader="none"/>
          <w:tab w:val="left" w:pos="720" w:leader="none"/>
        </w:tabs>
        <w:ind w:hanging="36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All activity will be according to previously determined risk management strategies.</w:t>
      </w:r>
    </w:p>
    <w:p>
      <w:pPr>
        <w:pStyle w:val="Normal"/>
        <w:tabs>
          <w:tab w:val="clear" w:pos="540"/>
          <w:tab w:val="left" w:pos="0" w:leader="none"/>
        </w:tabs>
        <w:ind w:start="3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3"/>
        </w:numPr>
        <w:tabs>
          <w:tab w:val="clear" w:pos="540"/>
          <w:tab w:val="left" w:pos="0" w:leader="none"/>
          <w:tab w:val="left" w:pos="720" w:leader="none"/>
        </w:tabs>
        <w:ind w:hanging="36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The Chief Risk Officer of Enron Corp will approve all risk management strategies.</w:t>
      </w:r>
    </w:p>
    <w:p>
      <w:pPr>
        <w:pStyle w:val="Normal"/>
        <w:tabs>
          <w:tab w:val="clear" w:pos="540"/>
          <w:tab w:val="left" w:pos="0" w:leader="none"/>
        </w:tabs>
        <w:ind w:start="3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3"/>
        </w:numPr>
        <w:tabs>
          <w:tab w:val="clear" w:pos="540"/>
          <w:tab w:val="left" w:pos="0" w:leader="none"/>
          <w:tab w:val="left" w:pos="720" w:leader="none"/>
        </w:tabs>
        <w:ind w:hanging="36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All trading transactions will be executed at current relevant market prices, with or through existing commodity and financial instrument trading desks. </w:t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3"/>
        </w:numPr>
        <w:tabs>
          <w:tab w:val="clear" w:pos="540"/>
          <w:tab w:val="left" w:pos="0" w:leader="none"/>
          <w:tab w:val="left" w:pos="720" w:leader="none"/>
        </w:tabs>
        <w:ind w:hanging="36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All trading transactions will be in products or instruments currently approved by the Board of Directors of Enron Corp.</w:t>
      </w:r>
    </w:p>
    <w:p>
      <w:pPr>
        <w:pStyle w:val="Normal"/>
        <w:tabs>
          <w:tab w:val="clear" w:pos="540"/>
          <w:tab w:val="left" w:pos="0" w:leader="none"/>
        </w:tabs>
        <w:ind w:start="3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3"/>
        </w:numPr>
        <w:tabs>
          <w:tab w:val="clear" w:pos="540"/>
          <w:tab w:val="left" w:pos="0" w:leader="none"/>
          <w:tab w:val="left" w:pos="720" w:leader="none"/>
        </w:tabs>
        <w:ind w:hanging="36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The objectives of all strategies will be to minimise losses, rather than to maximise profits.  </w:t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clear" w:pos="540"/>
          <w:tab w:val="left" w:pos="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clear" w:pos="540"/>
          <w:tab w:val="left" w:pos="0" w:leader="none"/>
          <w:tab w:val="left" w:pos="4320" w:leader="none"/>
        </w:tabs>
        <w:ind w:hanging="3240" w:start="3240" w:end="0"/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rFonts w:cs="Times New Roman" w:ascii="Times New Roman" w:hAnsi="Times New Roman"/>
          <w:b/>
          <w:sz w:val="22"/>
          <w:u w:val="single"/>
        </w:rPr>
        <w:t xml:space="preserve">Responsibilities:   </w:t>
      </w:r>
    </w:p>
    <w:p>
      <w:pPr>
        <w:pStyle w:val="Normal"/>
        <w:tabs>
          <w:tab w:val="clear" w:pos="540"/>
          <w:tab w:val="left" w:pos="0" w:leader="none"/>
          <w:tab w:val="left" w:pos="3240" w:leader="none"/>
          <w:tab w:val="left" w:pos="3330" w:leader="none"/>
          <w:tab w:val="left" w:pos="4320" w:leader="none"/>
        </w:tabs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rFonts w:cs="Times New Roman" w:ascii="Times New Roman" w:hAnsi="Times New Roman"/>
          <w:b/>
          <w:sz w:val="22"/>
          <w:u w:val="single"/>
        </w:rPr>
      </w:r>
    </w:p>
    <w:p>
      <w:pPr>
        <w:pStyle w:val="Normal"/>
        <w:tabs>
          <w:tab w:val="clear" w:pos="540"/>
          <w:tab w:val="left" w:pos="0" w:leader="none"/>
          <w:tab w:val="left" w:pos="3240" w:leader="none"/>
          <w:tab w:val="left" w:pos="432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SRM Risk Committee</w:t>
        <w:tab/>
        <w:t>Ted Murphy, David Port, Rudi Zipter</w:t>
      </w:r>
    </w:p>
    <w:p>
      <w:pPr>
        <w:pStyle w:val="Normal"/>
        <w:tabs>
          <w:tab w:val="left" w:pos="540" w:leader="none"/>
          <w:tab w:val="left" w:pos="3240" w:leader="none"/>
          <w:tab w:val="left" w:pos="432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Execution</w:t>
        <w:tab/>
        <w:tab/>
        <w:t>Rudi Zipter</w:t>
      </w:r>
    </w:p>
    <w:p>
      <w:pPr>
        <w:pStyle w:val="Normal"/>
        <w:tabs>
          <w:tab w:val="left" w:pos="540" w:leader="none"/>
          <w:tab w:val="left" w:pos="3240" w:leader="none"/>
          <w:tab w:val="left" w:pos="432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Operations </w:t>
        <w:tab/>
        <w:tab/>
        <w:t>Sally Beck</w:t>
      </w:r>
    </w:p>
    <w:p>
      <w:pPr>
        <w:pStyle w:val="Normal"/>
        <w:tabs>
          <w:tab w:val="left" w:pos="540" w:leader="none"/>
          <w:tab w:val="left" w:pos="3240" w:leader="none"/>
          <w:tab w:val="left" w:pos="432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Legal</w:t>
        <w:tab/>
        <w:tab/>
        <w:tab/>
        <w:t>TBA</w:t>
      </w:r>
    </w:p>
    <w:p>
      <w:pPr>
        <w:pStyle w:val="Normal"/>
        <w:tabs>
          <w:tab w:val="left" w:pos="540" w:leader="none"/>
          <w:tab w:val="left" w:pos="324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Accounting</w:t>
        <w:tab/>
        <w:tab/>
        <w:t>TBA</w:t>
        <w:tab/>
      </w:r>
    </w:p>
    <w:p>
      <w:pPr>
        <w:pStyle w:val="Normal"/>
        <w:tabs>
          <w:tab w:val="left" w:pos="540" w:leader="none"/>
          <w:tab w:val="left" w:pos="3240" w:leader="none"/>
          <w:tab w:val="left" w:pos="432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ab/>
      </w:r>
    </w:p>
    <w:p>
      <w:pPr>
        <w:pStyle w:val="Normal"/>
        <w:tabs>
          <w:tab w:val="left" w:pos="540" w:leader="none"/>
          <w:tab w:val="left" w:pos="4320" w:leader="none"/>
        </w:tabs>
        <w:ind w:hanging="2160" w:start="2160" w:end="0"/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rFonts w:cs="Times New Roman" w:ascii="Times New Roman" w:hAnsi="Times New Roman"/>
          <w:b/>
          <w:sz w:val="22"/>
          <w:u w:val="single"/>
        </w:rPr>
      </w:r>
    </w:p>
    <w:p>
      <w:pPr>
        <w:pStyle w:val="Heading6"/>
        <w:jc w:val="start"/>
        <w:rPr/>
      </w:pPr>
      <w:r>
        <w:rPr/>
        <w:t>Limits:</w:t>
      </w:r>
    </w:p>
    <w:p>
      <w:pPr>
        <w:pStyle w:val="Normal"/>
        <w:tabs>
          <w:tab w:val="left" w:pos="540" w:leader="none"/>
          <w:tab w:val="left" w:pos="2520" w:leader="none"/>
        </w:tabs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ab/>
        <w:tab/>
      </w:r>
    </w:p>
    <w:p>
      <w:pPr>
        <w:pStyle w:val="Heading5"/>
        <w:jc w:val="start"/>
        <w:rPr>
          <w:b w:val="false"/>
        </w:rPr>
      </w:pPr>
      <w:r>
        <w:rPr>
          <w:b w:val="false"/>
        </w:rPr>
        <w:t>The objective of the group is to minimise risk, rather than return on risk, hence no additional limits are requested.</w:t>
      </w:r>
    </w:p>
    <w:p>
      <w:pPr>
        <w:pStyle w:val="Heading5"/>
        <w:jc w:val="start"/>
        <w:rPr>
          <w:b w:val="false"/>
        </w:rPr>
      </w:pPr>
      <w:r>
        <w:rPr>
          <w:b w:val="false"/>
        </w:rPr>
      </w:r>
    </w:p>
    <w:p>
      <w:pPr>
        <w:pStyle w:val="Heading5"/>
        <w:ind w:hanging="0" w:start="0" w:end="0"/>
        <w:jc w:val="start"/>
        <w:rPr>
          <w:b w:val="false"/>
        </w:rPr>
      </w:pPr>
      <w:r>
        <w:rPr>
          <w:b w:val="false"/>
        </w:rPr>
        <w:t>All positions and instruments will be traded internally with or through existing desks, hence all positions will be included under existing commodity limits 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5"/>
        <w:ind w:start="2700" w:end="0"/>
        <w:jc w:val="start"/>
        <w:rPr/>
      </w:pPr>
      <w:r>
        <w:rPr/>
        <w:tab/>
        <w:tab/>
      </w:r>
    </w:p>
    <w:p>
      <w:pPr>
        <w:pStyle w:val="Normal"/>
        <w:tabs>
          <w:tab w:val="left" w:pos="540" w:leader="none"/>
          <w:tab w:val="left" w:pos="2520" w:leader="none"/>
        </w:tabs>
        <w:ind w:hanging="2160" w:start="2160" w:end="0"/>
        <w:jc w:val="both"/>
        <w:rPr/>
      </w:pPr>
      <w:r>
        <w:rPr>
          <w:rFonts w:cs="Times New Roman" w:ascii="Times New Roman" w:hAnsi="Times New Roman"/>
          <w:b/>
          <w:sz w:val="22"/>
          <w:u w:val="single"/>
        </w:rPr>
        <w:t>Term of Policy:</w:t>
      </w:r>
      <w:r>
        <w:rPr>
          <w:rFonts w:cs="Times New Roman" w:ascii="Times New Roman" w:hAnsi="Times New Roman"/>
          <w:sz w:val="22"/>
        </w:rPr>
        <w:tab/>
      </w:r>
    </w:p>
    <w:p>
      <w:pPr>
        <w:pStyle w:val="Normal"/>
        <w:tabs>
          <w:tab w:val="left" w:pos="540" w:leader="none"/>
          <w:tab w:val="left" w:pos="252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BodyText"/>
        <w:rPr/>
      </w:pPr>
      <w:r>
        <w:rPr/>
        <w:t>The approval shall remain in place unless amended by the signatories through the end of December 2000.  Thereafter, the limits shall be reviewed on an annual basis.</w:t>
      </w:r>
    </w:p>
    <w:p>
      <w:pPr>
        <w:pStyle w:val="Normal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720" w:right="720" w:gutter="0" w:header="720" w:top="776" w:footer="360" w:bottom="90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object w:dxaOrig="1397" w:dyaOrig="1382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-21.6pt;margin-top:-735.65pt;width:69.85pt;height:69.1pt;mso-wrap-distance-left:9.05pt;mso-wrap-distance-right:9.05pt;mso-position-horizontal-relative:text;mso-position-vertical-relative:text" filled="f" o:ole="">
          <v:imagedata r:id="rId2" o:title=""/>
        </v:shape>
        <o:OLEObject Type="Embed" ProgID="" ShapeID="ole_rId1" DrawAspect="Content" ObjectID="_978038683" r:id="rId1"/>
      </w:object>
    </w: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</w:rPr>
    </w:pPr>
    <w:r>
      <w:rPr>
        <w:sz w:val="20"/>
      </w:rPr>
      <w:tab/>
      <w:tab/>
      <w:tab/>
      <w:t xml:space="preserve">             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  <w:p>
    <w:pPr>
      <w:pStyle w:val="BodyTextIndent3"/>
      <w:jc w:val="end"/>
      <w:rPr/>
    </w:pPr>
    <w:r>
      <w:rPr/>
      <w:t>Proprietary and Confidential</w:t>
    </w:r>
  </w:p>
  <w:p>
    <w:pPr>
      <w:pStyle w:val="Header"/>
      <w:rPr>
        <w:sz w:val="20"/>
      </w:rPr>
    </w:pPr>
    <w:r>
      <w:rPr>
        <w:sz w:val="20"/>
      </w:rPr>
    </w:r>
  </w:p>
  <w:p>
    <w:pPr>
      <w:pStyle w:val="Header"/>
      <w:rPr>
        <w:sz w:val="20"/>
      </w:rPr>
    </w:pPr>
    <w:r>
      <w:rPr>
        <w:sz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2">
              <wp:simplePos x="0" y="0"/>
              <wp:positionH relativeFrom="page">
                <wp:posOffset>2615565</wp:posOffset>
              </wp:positionH>
              <wp:positionV relativeFrom="paragraph">
                <wp:posOffset>-189865</wp:posOffset>
              </wp:positionV>
              <wp:extent cx="3877310" cy="76073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7607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</w:t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Memorandum</w:t>
                          </w:r>
                        </w:p>
                        <w:p>
                          <w:pPr>
                            <w:pStyle w:val="BodyTextIndent3"/>
                            <w:jc w:val="start"/>
                            <w:rPr/>
                          </w:pPr>
                          <w:r>
                            <w:rPr/>
                            <w:t>Proprietary and ConfidentialDRAFT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9.9pt;mso-wrap-distance-left:9.35pt;mso-wrap-distance-right:9.35pt;mso-wrap-distance-top:0pt;mso-wrap-distance-bottom:0pt;margin-top:-14.95pt;mso-position-vertical-relative:text;margin-left:205.9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</w:t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Memorandum</w:t>
                    </w:r>
                  </w:p>
                  <w:p>
                    <w:pPr>
                      <w:pStyle w:val="BodyTextIndent3"/>
                      <w:jc w:val="start"/>
                      <w:rPr/>
                    </w:pPr>
                    <w:r>
                      <w:rPr/>
                      <w:t>Proprietary and ConfidentialDRAFT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540"/>
      </w:tabs>
      <w:outlineLvl w:val="0"/>
    </w:pPr>
    <w:rPr>
      <w:rFonts w:ascii="Times New Roman" w:hAnsi="Times New Roman" w:cs="Times New Roman"/>
      <w:b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540"/>
      </w:tabs>
      <w:outlineLvl w:val="1"/>
    </w:pPr>
    <w:rPr>
      <w:rFonts w:ascii="Times New Roman" w:hAnsi="Times New Roman" w:cs="Times New Roman"/>
      <w:i/>
      <w:sz w:val="2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540"/>
      </w:tabs>
      <w:outlineLvl w:val="3"/>
    </w:pPr>
    <w:rPr>
      <w:rFonts w:ascii="Times New Roman" w:hAnsi="Times New Roman" w:cs="Times New Roman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left" w:pos="540" w:leader="none"/>
        <w:tab w:val="left" w:pos="2520" w:leader="none"/>
      </w:tabs>
      <w:ind w:hanging="2160" w:start="2160" w:end="0"/>
      <w:jc w:val="both"/>
      <w:outlineLvl w:val="4"/>
    </w:pPr>
    <w:rPr>
      <w:rFonts w:ascii="Times New Roman" w:hAnsi="Times New Roman" w:cs="Times New Roman"/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left" w:pos="540" w:leader="none"/>
        <w:tab w:val="left" w:pos="4320" w:leader="none"/>
      </w:tabs>
      <w:ind w:hanging="2160" w:start="2160" w:end="0"/>
      <w:jc w:val="center"/>
      <w:outlineLvl w:val="5"/>
    </w:pPr>
    <w:rPr>
      <w:rFonts w:ascii="Times New Roman" w:hAnsi="Times New Roman" w:cs="Times New Roman"/>
      <w:b/>
      <w:sz w:val="22"/>
      <w:u w:val="single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clear" w:pos="540"/>
      </w:tabs>
      <w:spacing w:before="240" w:after="60"/>
      <w:outlineLvl w:val="6"/>
    </w:pPr>
    <w:rPr>
      <w:sz w:val="20"/>
      <w:lang w:val="en-GB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clear" w:pos="540"/>
      </w:tabs>
      <w:spacing w:before="240" w:after="60"/>
      <w:outlineLvl w:val="7"/>
    </w:pPr>
    <w:rPr>
      <w:i/>
      <w:sz w:val="20"/>
      <w:lang w:val="en-GB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clear" w:pos="540"/>
      </w:tabs>
      <w:spacing w:before="240" w:after="60"/>
      <w:outlineLvl w:val="8"/>
    </w:pPr>
    <w:rPr>
      <w:b/>
      <w:i/>
      <w:sz w:val="18"/>
      <w:lang w:val="en-GB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tabs>
        <w:tab w:val="clear" w:pos="540"/>
        <w:tab w:val="left" w:pos="0" w:leader="none"/>
      </w:tabs>
      <w:jc w:val="both"/>
    </w:pPr>
    <w:rPr>
      <w:rFonts w:ascii="Times New Roman" w:hAnsi="Times New Roman" w:cs="Times New Roman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BodyTextIndent">
    <w:name w:val="Body Text Indent"/>
    <w:basedOn w:val="Normal"/>
    <w:pPr>
      <w:tabs>
        <w:tab w:val="clear" w:pos="540"/>
      </w:tabs>
      <w:ind w:hanging="720" w:start="720" w:end="0"/>
    </w:pPr>
    <w:rPr>
      <w:rFonts w:ascii="Times New Roman" w:hAnsi="Times New Roman" w:cs="Times New Roman"/>
      <w:sz w:val="20"/>
    </w:rPr>
  </w:style>
  <w:style w:type="paragraph" w:styleId="BodyTextIndent2">
    <w:name w:val="Body Text Indent 2"/>
    <w:basedOn w:val="Normal"/>
    <w:qFormat/>
    <w:pPr>
      <w:ind w:hanging="0" w:start="720" w:end="0"/>
    </w:pPr>
    <w:rPr>
      <w:sz w:val="20"/>
    </w:rPr>
  </w:style>
  <w:style w:type="paragraph" w:styleId="BodyTextIndent3">
    <w:name w:val="Body Text Indent 3"/>
    <w:basedOn w:val="Normal"/>
    <w:qFormat/>
    <w:pPr>
      <w:ind w:hanging="0" w:start="3600" w:end="0"/>
      <w:jc w:val="center"/>
    </w:pPr>
    <w:rPr>
      <w:b/>
      <w:color w:val="FF0000"/>
      <w:sz w:val="20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2000-09-07T15:55:00Z</dcterms:created>
  <dc:creator>Jeff Ford</dc:creator>
  <dc:description/>
  <dc:language>en-CA</dc:language>
  <cp:lastModifiedBy>dport</cp:lastModifiedBy>
  <cp:lastPrinted>2000-05-01T14:29:00Z</cp:lastPrinted>
  <dcterms:modified xsi:type="dcterms:W3CDTF">2000-09-18T15:29:00Z</dcterms:modified>
  <cp:revision>4</cp:revision>
  <dc:subject/>
  <dc:title>Eron Capital &amp; Trade Resources Memo</dc:title>
</cp:coreProperties>
</file>