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png" ContentType="image/png"/>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ocumentLabel"/>
        <w:numPr>
          <w:ilvl w:val="0"/>
          <w:numId w:val="0"/>
        </w:numPr>
        <w:spacing w:before="400" w:after="120"/>
        <w:ind w:hanging="0" w:start="0" w:end="0"/>
        <w:outlineLvl w:val="0"/>
        <w:rPr>
          <w:rFonts w:ascii="Arial" w:hAnsi="Arial" w:cs="Arial"/>
          <w:b/>
          <w:sz w:val="52"/>
        </w:rPr>
      </w:pPr>
      <w:r>
        <mc:AlternateContent>
          <mc:Choice Requires="wpg">
            <w:drawing>
              <wp:anchor behindDoc="0" distT="0" distB="0" distL="114935" distR="114935" simplePos="0" locked="0" layoutInCell="0" allowOverlap="1" relativeHeight="2">
                <wp:simplePos x="0" y="0"/>
                <wp:positionH relativeFrom="page">
                  <wp:posOffset>640080</wp:posOffset>
                </wp:positionH>
                <wp:positionV relativeFrom="margin">
                  <wp:posOffset>-365760</wp:posOffset>
                </wp:positionV>
                <wp:extent cx="6583680" cy="457200"/>
                <wp:effectExtent l="0" t="0" r="0" b="7620"/>
                <wp:wrapTopAndBottom/>
                <wp:docPr id="1" name=""/>
                <a:graphic xmlns:a="http://schemas.openxmlformats.org/drawingml/2006/main">
                  <a:graphicData uri="http://schemas.microsoft.com/office/word/2010/wordprocessingGroup">
                    <wpg:wgp>
                      <wpg:cNvGrpSpPr/>
                      <wpg:grpSpPr>
                        <a:xfrm>
                          <a:off x="0" y="0"/>
                          <a:ext cx="6583680" cy="457200"/>
                          <a:chOff x="0" y="0"/>
                          <a:chExt cx="6583680" cy="457200"/>
                        </a:xfrm>
                      </wpg:grpSpPr>
                      <pic:pic xmlns:pic="http://schemas.openxmlformats.org/drawingml/2006/picture">
                        <pic:nvPicPr>
                          <pic:cNvPr id="2" name="" descr=""/>
                          <pic:cNvPicPr/>
                        </pic:nvPicPr>
                        <pic:blipFill>
                          <a:blip r:embed="rId2"/>
                          <a:stretch/>
                        </pic:blipFill>
                        <pic:spPr>
                          <a:xfrm>
                            <a:off x="0" y="0"/>
                            <a:ext cx="457200" cy="434520"/>
                          </a:xfrm>
                          <a:prstGeom prst="rect">
                            <a:avLst/>
                          </a:prstGeom>
                          <a:noFill/>
                          <a:ln w="0">
                            <a:noFill/>
                          </a:ln>
                        </pic:spPr>
                      </pic:pic>
                      <pic:pic xmlns:pic="http://schemas.openxmlformats.org/drawingml/2006/picture">
                        <pic:nvPicPr>
                          <pic:cNvPr id="3" name="" descr=""/>
                          <pic:cNvPicPr/>
                        </pic:nvPicPr>
                        <pic:blipFill>
                          <a:blip r:embed="rId3"/>
                          <a:stretch/>
                        </pic:blipFill>
                        <pic:spPr>
                          <a:xfrm>
                            <a:off x="640080" y="0"/>
                            <a:ext cx="2377440" cy="380880"/>
                          </a:xfrm>
                          <a:prstGeom prst="rect">
                            <a:avLst/>
                          </a:prstGeom>
                          <a:noFill/>
                          <a:ln w="0">
                            <a:noFill/>
                          </a:ln>
                        </pic:spPr>
                      </pic:pic>
                      <wps:wsp>
                        <wps:cNvSpPr txBox="1"/>
                        <wps:spPr>
                          <a:xfrm>
                            <a:off x="5577840" y="91440"/>
                            <a:ext cx="1005840" cy="365760"/>
                          </a:xfrm>
                          <a:prstGeom prst="rect">
                            <a:avLst/>
                          </a:prstGeom>
                          <a:noFill/>
                          <a:ln w="0">
                            <a:noFill/>
                          </a:ln>
                        </wps:spPr>
                        <wps:txbx>
                          <w:txbxContent>
                            <w:p>
                              <w:pPr>
                                <w:overflowPunct w:val="false"/>
                                <w:bidi w:val="0"/>
                                <w:rPr/>
                              </w:pPr>
                              <w:r>
                                <w:rPr>
                                  <w:kern w:val="2"/>
                                  <w:sz w:val="17"/>
                                  <w:spacing w:val="-5"/>
                                  <w:szCs w:val="20"/>
                                  <w:rFonts w:ascii="Arial Narrow" w:hAnsi="Arial Narrow" w:eastAsia="Times New Roman" w:cs="Arial Narrow"/>
                                  <w:color w:val="auto"/>
                                  <w:lang w:val="en-US"/>
                                </w:rPr>
                                <w:t xml:space="preserve">California Independent </w:t>
                              </w:r>
                            </w:p>
                            <w:p>
                              <w:pPr>
                                <w:overflowPunct w:val="false"/>
                                <w:bidi w:val="0"/>
                                <w:rPr/>
                              </w:pPr>
                              <w:r>
                                <w:rPr>
                                  <w:kern w:val="2"/>
                                  <w:sz w:val="17"/>
                                  <w:spacing w:val="-5"/>
                                  <w:szCs w:val="20"/>
                                  <w:rFonts w:ascii="Arial Narrow" w:hAnsi="Arial Narrow" w:eastAsia="Times New Roman" w:cs="Arial Narrow"/>
                                  <w:color w:val="auto"/>
                                  <w:lang w:val="en-US"/>
                                </w:rPr>
                                <w:t>System Operator</w:t>
                              </w:r>
                            </w:p>
                          </w:txbxContent>
                        </wps:txbx>
                        <wps:bodyPr wrap="square" lIns="0" rIns="0" tIns="0" bIns="0" anchor="t">
                          <a:noAutofit/>
                        </wps:bodyPr>
                      </wps:wsp>
                    </wpg:wgp>
                  </a:graphicData>
                </a:graphic>
              </wp:anchor>
            </w:drawing>
          </mc:Choice>
          <mc:Fallback>
            <w:pict>
              <v:group id="shape_0" style="position:absolute;margin-left:50.4pt;margin-top:-28.8pt;width:518.4pt;height:36pt" coordorigin="1008,-576" coordsize="10368,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008;top:-576;width:719;height:683;mso-wrap-style:none;v-text-anchor:middle;mso-position-horizontal-relative:page;mso-position-vertical-relative:margin" type="_x0000_t75">
                  <v:imagedata r:id="rId4" o:detectmouseclick="t"/>
                  <v:stroke color="#3465a4" joinstyle="round" endcap="flat"/>
                  <w10:wrap type="topAndBottom"/>
                </v:shape>
                <v:shape id="shape_0" stroked="f" o:allowincell="f" style="position:absolute;left:2016;top:-576;width:3743;height:599;mso-wrap-style:none;v-text-anchor:middle;mso-position-horizontal-relative:page;mso-position-vertical-relative:margin" type="_x0000_t75">
                  <v:imagedata r:id="rId5" o:detectmouseclick="t"/>
                  <v:stroke color="#3465a4" joinstyle="round" endcap="flat"/>
                  <w10:wrap type="topAndBottom"/>
                </v:shape>
                <v:shapetype id="_x0000_t202" coordsize="21600,21600" o:spt="202" path="m,l,21600l21600,21600l21600,xe">
                  <v:stroke joinstyle="miter"/>
                  <v:path gradientshapeok="t" o:connecttype="rect"/>
                </v:shapetype>
                <v:shape id="shape_0" stroked="f" o:allowincell="f" style="position:absolute;left:9792;top:-432;width:1583;height:575;mso-wrap-style:square;v-text-anchor:top;mso-position-horizontal-relative:page;mso-position-vertical-relative:margin" type="_x0000_t202">
                  <v:textbox>
                    <w:txbxContent>
                      <w:p>
                        <w:pPr>
                          <w:overflowPunct w:val="false"/>
                          <w:bidi w:val="0"/>
                          <w:rPr/>
                        </w:pPr>
                        <w:r>
                          <w:rPr>
                            <w:kern w:val="2"/>
                            <w:sz w:val="17"/>
                            <w:spacing w:val="-5"/>
                            <w:szCs w:val="20"/>
                            <w:rFonts w:ascii="Arial Narrow" w:hAnsi="Arial Narrow" w:eastAsia="Times New Roman" w:cs="Arial Narrow"/>
                            <w:color w:val="auto"/>
                            <w:lang w:val="en-US"/>
                          </w:rPr>
                          <w:t xml:space="preserve">California Independent </w:t>
                        </w:r>
                      </w:p>
                      <w:p>
                        <w:pPr>
                          <w:overflowPunct w:val="false"/>
                          <w:bidi w:val="0"/>
                          <w:rPr/>
                        </w:pPr>
                        <w:r>
                          <w:rPr>
                            <w:kern w:val="2"/>
                            <w:sz w:val="17"/>
                            <w:spacing w:val="-5"/>
                            <w:szCs w:val="20"/>
                            <w:rFonts w:ascii="Arial Narrow" w:hAnsi="Arial Narrow" w:eastAsia="Times New Roman" w:cs="Arial Narrow"/>
                            <w:color w:val="auto"/>
                            <w:lang w:val="en-US"/>
                          </w:rPr>
                          <w:t>System Operator</w:t>
                        </w:r>
                      </w:p>
                    </w:txbxContent>
                  </v:textbox>
                  <v:fill o:detectmouseclick="t" on="false"/>
                  <v:stroke color="#3465a4" joinstyle="round" endcap="flat"/>
                  <w10:wrap type="topAndBottom"/>
                </v:shape>
              </v:group>
            </w:pict>
          </mc:Fallback>
        </mc:AlternateContent>
      </w:r>
      <w:r>
        <w:rPr>
          <w:rFonts w:cs="Arial" w:ascii="Arial" w:hAnsi="Arial"/>
          <w:b/>
          <w:sz w:val="52"/>
        </w:rPr>
        <w:t>Memorandum</w:t>
      </w:r>
    </w:p>
    <w:p>
      <w:pPr>
        <w:pStyle w:val="MessageHeaderFirst"/>
        <w:tabs>
          <w:tab w:val="left" w:pos="720" w:leader="none"/>
        </w:tabs>
        <w:ind w:hanging="0" w:start="0" w:end="0"/>
        <w:rPr>
          <w:rStyle w:val="MessageHeaderLabel"/>
          <w:rFonts w:ascii="Arial" w:hAnsi="Arial" w:cs="Arial"/>
          <w:spacing w:val="-25"/>
          <w:sz w:val="20"/>
        </w:rPr>
      </w:pPr>
      <w:r>
        <w:rPr>
          <w:rFonts w:cs="Arial"/>
          <w:b/>
          <w:sz w:val="52"/>
        </w:rPr>
      </w:r>
    </w:p>
    <w:p>
      <w:pPr>
        <w:pStyle w:val="MessageHeaderFirst"/>
        <w:tabs>
          <w:tab w:val="left" w:pos="720" w:leader="none"/>
        </w:tabs>
        <w:ind w:hanging="0" w:start="0" w:end="0"/>
        <w:rPr/>
      </w:pPr>
      <w:r>
        <w:rPr>
          <w:rStyle w:val="MessageHeaderLabel"/>
          <w:rFonts w:cs="Arial"/>
          <w:spacing w:val="-25"/>
          <w:sz w:val="20"/>
        </w:rPr>
        <w:t>T</w:t>
      </w:r>
      <w:r>
        <w:rPr>
          <w:rStyle w:val="MessageHeaderLabel"/>
          <w:rFonts w:cs="Arial"/>
          <w:sz w:val="20"/>
        </w:rPr>
        <w:t>o:</w:t>
      </w:r>
      <w:r>
        <w:rPr/>
        <w:tab/>
        <w:t>Summer Reliability Generation Selected Respondents</w:t>
      </w:r>
    </w:p>
    <w:p>
      <w:pPr>
        <w:pStyle w:val="MessageHeader"/>
        <w:numPr>
          <w:ilvl w:val="0"/>
          <w:numId w:val="0"/>
        </w:numPr>
        <w:tabs>
          <w:tab w:val="left" w:pos="720" w:leader="none"/>
        </w:tabs>
        <w:ind w:hanging="0" w:start="0" w:end="0"/>
        <w:outlineLvl w:val="0"/>
        <w:rPr/>
      </w:pPr>
      <w:r>
        <w:rPr>
          <w:rStyle w:val="MessageHeaderLabel"/>
          <w:rFonts w:cs="Arial"/>
          <w:sz w:val="20"/>
        </w:rPr>
        <w:t>From:</w:t>
      </w:r>
      <w:r>
        <w:rPr/>
        <w:tab/>
        <w:t>Brian Theaker, Manager of Reliability Contracts</w:t>
      </w:r>
    </w:p>
    <w:p>
      <w:pPr>
        <w:pStyle w:val="MessageHeader"/>
        <w:tabs>
          <w:tab w:val="left" w:pos="720" w:leader="none"/>
        </w:tabs>
        <w:ind w:hanging="0" w:start="0" w:end="0"/>
        <w:rPr/>
      </w:pPr>
      <w:r>
        <w:rPr>
          <w:rStyle w:val="MessageHeaderLabel"/>
          <w:rFonts w:cs="Arial"/>
          <w:sz w:val="20"/>
        </w:rPr>
        <w:t>Date:</w:t>
      </w:r>
      <w:r>
        <w:rPr/>
        <w:tab/>
        <w:t>November 7, 2000</w:t>
      </w:r>
    </w:p>
    <w:p>
      <w:pPr>
        <w:pStyle w:val="MessageHeaderLast"/>
        <w:tabs>
          <w:tab w:val="left" w:pos="720" w:leader="none"/>
        </w:tabs>
        <w:ind w:hanging="0" w:start="0" w:end="0"/>
        <w:rPr/>
      </w:pPr>
      <w:r>
        <w:rPr>
          <w:rStyle w:val="MessageHeaderLabel"/>
          <w:rFonts w:cs="Arial"/>
          <w:b/>
          <w:sz w:val="20"/>
        </w:rPr>
        <w:t>Re:</w:t>
      </w:r>
      <w:r>
        <w:rPr>
          <w:b/>
        </w:rPr>
        <w:tab/>
        <w:t xml:space="preserve">Summer Reliability Agreement - Last Revised </w:t>
      </w:r>
      <w:r>
        <w:rPr>
          <w:b/>
          <w:i/>
        </w:rPr>
        <w:t>pro forma and Execution Deadline</w:t>
      </w:r>
    </w:p>
    <w:p>
      <w:pPr>
        <w:pStyle w:val="Normal"/>
        <w:rPr/>
      </w:pPr>
      <w:r>
        <w:rPr/>
        <w:t xml:space="preserve">Transmitted with this letter is a revised version of the </w:t>
      </w:r>
      <w:r>
        <w:rPr>
          <w:i/>
        </w:rPr>
        <w:t>pro forma</w:t>
      </w:r>
      <w:r>
        <w:rPr/>
        <w:t xml:space="preserve"> Summer Reliability Agreement ("SRA"), incorporating additional changes from the SRA sent to you on October 31, 2000.</w:t>
      </w:r>
    </w:p>
    <w:p>
      <w:pPr>
        <w:pStyle w:val="Normal"/>
        <w:rPr/>
      </w:pPr>
      <w:r>
        <w:rPr/>
      </w:r>
    </w:p>
    <w:p>
      <w:pPr>
        <w:pStyle w:val="Normal"/>
        <w:rPr/>
      </w:pPr>
      <w:r>
        <w:rPr/>
        <w:t>The changes are:</w:t>
      </w:r>
    </w:p>
    <w:p>
      <w:pPr>
        <w:pStyle w:val="Normal"/>
        <w:rPr/>
      </w:pPr>
      <w:r>
        <w:rPr/>
      </w:r>
    </w:p>
    <w:p>
      <w:pPr>
        <w:pStyle w:val="Normal"/>
        <w:numPr>
          <w:ilvl w:val="0"/>
          <w:numId w:val="2"/>
        </w:numPr>
        <w:rPr/>
      </w:pPr>
      <w:r>
        <w:rPr>
          <w:b/>
        </w:rPr>
        <w:t>Section 9.4</w:t>
      </w:r>
      <w:r>
        <w:rPr/>
        <w:t>: Added language indicating the ISO will not amend its Tariff to prevent it from recovering the costs it incurs under the SRA and suspending the Owner's obligation to perform if the Tariff is changed to prevent recovery of costs;</w:t>
        <w:br/>
      </w:r>
    </w:p>
    <w:p>
      <w:pPr>
        <w:pStyle w:val="Normal"/>
        <w:numPr>
          <w:ilvl w:val="0"/>
          <w:numId w:val="2"/>
        </w:numPr>
        <w:rPr/>
      </w:pPr>
      <w:r>
        <w:rPr>
          <w:b/>
        </w:rPr>
        <w:t>Section 11.3</w:t>
      </w:r>
      <w:r>
        <w:rPr/>
        <w:t>: Changed "continually" to "on a weekly basis" and cleaned up the sentence to incorporate that change;</w:t>
        <w:br/>
      </w:r>
    </w:p>
    <w:p>
      <w:pPr>
        <w:pStyle w:val="Normal"/>
        <w:numPr>
          <w:ilvl w:val="0"/>
          <w:numId w:val="2"/>
        </w:numPr>
        <w:rPr/>
      </w:pPr>
      <w:r>
        <w:rPr>
          <w:b/>
        </w:rPr>
        <w:t>Section 12.2 (d)</w:t>
      </w:r>
      <w:r>
        <w:rPr/>
        <w:t>:  Added language to clarify that the Owner's liability to the ISO under this agreement was limited to the Fixed Charge for the 2001 Summer Period;</w:t>
        <w:br/>
      </w:r>
    </w:p>
    <w:p>
      <w:pPr>
        <w:pStyle w:val="Normal"/>
        <w:numPr>
          <w:ilvl w:val="0"/>
          <w:numId w:val="2"/>
        </w:numPr>
        <w:rPr/>
      </w:pPr>
      <w:r>
        <w:rPr>
          <w:b/>
        </w:rPr>
        <w:t>Section 13.5</w:t>
      </w:r>
      <w:r>
        <w:rPr/>
        <w:t>: Included a cross-reference to section 12.2 (d);</w:t>
        <w:br/>
      </w:r>
    </w:p>
    <w:p>
      <w:pPr>
        <w:pStyle w:val="Normal"/>
        <w:numPr>
          <w:ilvl w:val="0"/>
          <w:numId w:val="2"/>
        </w:numPr>
        <w:rPr/>
      </w:pPr>
      <w:r>
        <w:rPr>
          <w:b/>
        </w:rPr>
        <w:t>Section 13.7</w:t>
      </w:r>
      <w:r>
        <w:rPr/>
        <w:t>: Changed the Performance Security from an amount not less than 60% of the 2001 Summer Period Fixed Charge to an amount equal to 60% of the 2001 Summer Period Fixed Charge.</w:t>
      </w:r>
    </w:p>
    <w:p>
      <w:pPr>
        <w:pStyle w:val="Normal"/>
        <w:rPr/>
      </w:pPr>
      <w:r>
        <w:rPr/>
      </w:r>
    </w:p>
    <w:p>
      <w:pPr>
        <w:pStyle w:val="Normal"/>
        <w:rPr/>
      </w:pPr>
      <w:r>
        <w:rPr>
          <w:b/>
        </w:rPr>
        <w:t xml:space="preserve">ISO Management has directed that there be no further changes to the </w:t>
      </w:r>
      <w:r>
        <w:rPr>
          <w:b/>
          <w:i/>
        </w:rPr>
        <w:t>pro forma</w:t>
      </w:r>
      <w:r>
        <w:rPr>
          <w:b/>
        </w:rPr>
        <w:t xml:space="preserve"> SRA.  Additionally, ISO Management has directed that respondents that do not execute this </w:t>
      </w:r>
      <w:r>
        <w:rPr>
          <w:b/>
          <w:i/>
        </w:rPr>
        <w:t>pro forma</w:t>
      </w:r>
      <w:r>
        <w:rPr>
          <w:b/>
        </w:rPr>
        <w:t xml:space="preserve"> SRA by Monday, November 13, 2000 will be dropped from further consideration.  </w:t>
        <w:br/>
      </w:r>
    </w:p>
    <w:p>
      <w:pPr>
        <w:pStyle w:val="Normal"/>
        <w:rPr/>
      </w:pPr>
      <w:r>
        <w:rPr/>
        <w:t>Please contact me at (916) 608-5804 or Debi Le Vine at (916) 351-2144 if you have any questions.</w:t>
      </w:r>
    </w:p>
    <w:p>
      <w:pPr>
        <w:pStyle w:val="Normal"/>
        <w:rPr/>
      </w:pPr>
      <w:r>
        <w:rPr/>
      </w:r>
    </w:p>
    <w:p>
      <w:pPr>
        <w:pStyle w:val="Normal"/>
        <w:rPr/>
      </w:pPr>
      <w:r>
        <w:rPr/>
      </w:r>
    </w:p>
    <w:p>
      <w:pPr>
        <w:pStyle w:val="Normal"/>
        <w:rPr/>
      </w:pPr>
      <w:r>
        <w:rPr/>
        <w:t>Kindest regards,</w:t>
      </w:r>
    </w:p>
    <w:p>
      <w:pPr>
        <w:pStyle w:val="Normal"/>
        <w:rPr/>
      </w:pPr>
      <w:r>
        <w:rPr/>
      </w:r>
    </w:p>
    <w:p>
      <w:pPr>
        <w:pStyle w:val="Normal"/>
        <w:rPr/>
      </w:pPr>
      <w:r>
        <w:rPr/>
      </w:r>
    </w:p>
    <w:p>
      <w:pPr>
        <w:pStyle w:val="Normal"/>
        <w:rPr/>
      </w:pPr>
      <w:r>
        <w:rPr/>
        <w:t>Brian Theaker</w:t>
      </w:r>
    </w:p>
    <w:p>
      <w:pPr>
        <w:pStyle w:val="Normal"/>
        <w:rPr/>
      </w:pPr>
      <w:r>
        <w:rPr/>
        <w:t>Manager of Reliability Contracts</w:t>
      </w:r>
    </w:p>
    <w:p>
      <w:pPr>
        <w:pStyle w:val="Normal"/>
        <w:rPr/>
      </w:pPr>
      <w:r>
        <w:rPr/>
      </w:r>
    </w:p>
    <w:p>
      <w:pPr>
        <w:pStyle w:val="Normal"/>
        <w:rPr>
          <w:b/>
          <w:sz w:val="21"/>
        </w:rPr>
      </w:pPr>
      <w:r>
        <w:rPr>
          <w:b/>
          <w:sz w:val="21"/>
        </w:rPr>
      </w:r>
    </w:p>
    <w:p>
      <w:pPr>
        <w:pStyle w:val="Normal"/>
        <w:rPr>
          <w:b/>
          <w:sz w:val="21"/>
        </w:rPr>
      </w:pPr>
      <w:r>
        <w:rPr>
          <w:b/>
          <w:sz w:val="21"/>
        </w:rPr>
      </w:r>
    </w:p>
    <w:sectPr>
      <w:footerReference w:type="default" r:id="rId6"/>
      <w:footerReference w:type="first" r:id="rId7"/>
      <w:type w:val="nextPage"/>
      <w:pgSz w:w="12240" w:h="15840"/>
      <w:pgMar w:left="1080" w:right="1080" w:gutter="0" w:header="0" w:top="1440"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Arial Narrow">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rPr/>
    </w:pPr>
    <w:r>
      <w:rPr>
        <w:rFonts w:eastAsia="Wingdings" w:cs="Wingdings" w:ascii="Wingdings" w:hAnsi="Wingdings"/>
      </w:rPr>
      <w:sym w:font="Wingdings" w:char="f06c"/>
    </w:r>
    <w:r>
      <w:rPr>
        <w:rFonts w:eastAsia="Arial"/>
      </w:rPr>
      <w:t xml:space="preserve"> </w:t>
    </w:r>
    <w: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600" w:after="0"/>
      <w:jc w:val="center"/>
      <w:rPr>
        <w:sz w:val="20"/>
      </w:rPr>
    </w:pPr>
    <w:r>
      <w:rPr>
        <w:sz w:val="20"/>
      </w:rPr>
      <w:t>151 Blue Ravine Road          Folsom, California  95630          (916) 351-4400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09"/>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pacing w:val="-5"/>
      <w:sz w:val="20"/>
      <w:szCs w:val="20"/>
      <w:lang w:val="en-US" w:eastAsia="zh-CN" w:bidi="hi-IN"/>
    </w:rPr>
  </w:style>
  <w:style w:type="paragraph" w:styleId="Heading1">
    <w:name w:val="heading 1"/>
    <w:basedOn w:val="Normal"/>
    <w:next w:val="BodyText"/>
    <w:qFormat/>
    <w:pPr>
      <w:keepNext w:val="true"/>
      <w:keepLines/>
      <w:numPr>
        <w:ilvl w:val="0"/>
        <w:numId w:val="1"/>
      </w:numPr>
      <w:spacing w:lineRule="atLeast" w:line="200" w:before="0" w:after="220"/>
      <w:outlineLvl w:val="0"/>
    </w:pPr>
    <w:rPr>
      <w:rFonts w:ascii="Arial Black" w:hAnsi="Arial Black" w:cs="Arial Black"/>
      <w:spacing w:val="-10"/>
      <w:kern w:val="2"/>
      <w:sz w:val="22"/>
    </w:rPr>
  </w:style>
  <w:style w:type="paragraph" w:styleId="Heading2">
    <w:name w:val="heading 2"/>
    <w:basedOn w:val="Normal"/>
    <w:next w:val="BodyText"/>
    <w:qFormat/>
    <w:pPr>
      <w:keepNext w:val="true"/>
      <w:keepLines/>
      <w:numPr>
        <w:ilvl w:val="1"/>
        <w:numId w:val="1"/>
      </w:numPr>
      <w:spacing w:lineRule="atLeast" w:line="200"/>
      <w:outlineLvl w:val="1"/>
    </w:pPr>
    <w:rPr>
      <w:rFonts w:ascii="Arial Black" w:hAnsi="Arial Black" w:cs="Arial Black"/>
      <w:spacing w:val="-10"/>
      <w:kern w:val="2"/>
    </w:rPr>
  </w:style>
  <w:style w:type="paragraph" w:styleId="Heading3">
    <w:name w:val="heading 3"/>
    <w:basedOn w:val="Normal"/>
    <w:next w:val="BodyText"/>
    <w:qFormat/>
    <w:pPr>
      <w:keepNext w:val="true"/>
      <w:keepLines/>
      <w:numPr>
        <w:ilvl w:val="2"/>
        <w:numId w:val="1"/>
      </w:numPr>
      <w:spacing w:lineRule="atLeast" w:line="180"/>
      <w:ind w:hanging="0" w:start="360" w:end="0"/>
      <w:outlineLvl w:val="2"/>
    </w:pPr>
    <w:rPr>
      <w:rFonts w:ascii="Arial Black" w:hAnsi="Arial Black" w:cs="Arial Black"/>
      <w:spacing w:val="-5"/>
      <w:kern w:val="2"/>
    </w:rPr>
  </w:style>
  <w:style w:type="paragraph" w:styleId="Heading4">
    <w:name w:val="heading 4"/>
    <w:basedOn w:val="Normal"/>
    <w:next w:val="BodyText"/>
    <w:qFormat/>
    <w:pPr>
      <w:keepNext w:val="true"/>
      <w:keepLines/>
      <w:numPr>
        <w:ilvl w:val="3"/>
        <w:numId w:val="1"/>
      </w:numPr>
      <w:spacing w:lineRule="atLeast" w:line="180"/>
      <w:ind w:hanging="0" w:start="720" w:end="0"/>
      <w:outlineLvl w:val="3"/>
    </w:pPr>
    <w:rPr>
      <w:rFonts w:ascii="Arial Black" w:hAnsi="Arial Black" w:cs="Arial Black"/>
      <w:spacing w:val="-2"/>
      <w:kern w:val="2"/>
      <w:sz w:val="18"/>
    </w:rPr>
  </w:style>
  <w:style w:type="paragraph" w:styleId="Heading5">
    <w:name w:val="heading 5"/>
    <w:basedOn w:val="Normal"/>
    <w:next w:val="BodyText"/>
    <w:qFormat/>
    <w:pPr>
      <w:keepNext w:val="true"/>
      <w:keepLines/>
      <w:numPr>
        <w:ilvl w:val="4"/>
        <w:numId w:val="1"/>
      </w:numPr>
      <w:spacing w:lineRule="atLeast" w:line="180"/>
      <w:ind w:hanging="0" w:start="1080" w:end="0"/>
      <w:outlineLvl w:val="4"/>
    </w:pPr>
    <w:rPr>
      <w:rFonts w:ascii="Arial Black" w:hAnsi="Arial Black" w:cs="Arial Black"/>
      <w:spacing w:val="-2"/>
      <w:kern w:val="2"/>
      <w:sz w:val="18"/>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DefaultParagraphFont">
    <w:name w:val="Default Paragraph Font"/>
    <w:qFormat/>
    <w:rPr/>
  </w:style>
  <w:style w:type="character" w:styleId="MessageHeaderLabel">
    <w:name w:val="Message Header Label"/>
    <w:qFormat/>
    <w:rPr>
      <w:rFonts w:ascii="Arial Black" w:hAnsi="Arial Black" w:cs="Arial Black"/>
      <w:spacing w:val="-10"/>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rFonts w:ascii="Arial" w:hAnsi="Arial" w:cs="Arial"/>
      <w:spacing w:val="-5"/>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losing">
    <w:name w:val="Closing"/>
    <w:basedOn w:val="Normal"/>
    <w:qFormat/>
    <w:pPr>
      <w:keepNext w:val="true"/>
      <w:spacing w:lineRule="atLeast" w:line="220"/>
    </w:pPr>
    <w:rPr>
      <w:rFonts w:ascii="Arial" w:hAnsi="Arial" w:cs="Arial"/>
      <w:spacing w:val="-5"/>
    </w:rPr>
  </w:style>
  <w:style w:type="paragraph" w:styleId="CompanyName">
    <w:name w:val="Company Name"/>
    <w:basedOn w:val="Normal"/>
    <w:qFormat/>
    <w:pPr>
      <w:keepLines/>
      <w:pBdr>
        <w:top w:val="single" w:sz="6" w:space="9" w:color="000000"/>
        <w:left w:val="single" w:sz="6" w:space="9" w:color="000000"/>
        <w:bottom w:val="single" w:sz="6" w:space="9" w:color="000000"/>
        <w:right w:val="single" w:sz="6" w:space="9" w:color="000000"/>
      </w:pBdr>
      <w:shd w:fill="000000" w:val="clear"/>
      <w:spacing w:lineRule="exact" w:line="320"/>
    </w:pPr>
    <w:rPr>
      <w:rFonts w:ascii="Arial Black" w:hAnsi="Arial Black" w:cs="Arial Black"/>
      <w:spacing w:val="-15"/>
      <w:position w:val="-2"/>
      <w:sz w:val="32"/>
    </w:rPr>
  </w:style>
  <w:style w:type="paragraph" w:styleId="DocumentLabel">
    <w:name w:val="Document Label"/>
    <w:basedOn w:val="Normal"/>
    <w:next w:val="Normal"/>
    <w:qFormat/>
    <w:pPr>
      <w:keepNext w:val="true"/>
      <w:keepLines/>
      <w:spacing w:lineRule="atLeast" w:line="240" w:before="400" w:after="120"/>
      <w:ind w:hanging="0" w:start="-840" w:end="0"/>
    </w:pPr>
    <w:rPr>
      <w:rFonts w:ascii="Arial Black" w:hAnsi="Arial Black" w:cs="Arial Black"/>
      <w:spacing w:val="-5"/>
      <w:kern w:val="2"/>
      <w:sz w:val="96"/>
    </w:rPr>
  </w:style>
  <w:style w:type="paragraph" w:styleId="Enclosure">
    <w:name w:val="Enclosure"/>
    <w:basedOn w:val="BodyText"/>
    <w:next w:val="Normal"/>
    <w:qFormat/>
    <w:pPr>
      <w:keepLines/>
      <w:spacing w:before="220" w:after="220"/>
      <w:jc w:val="start"/>
    </w:pPr>
    <w:rPr/>
  </w:style>
  <w:style w:type="paragraph" w:styleId="HeaderBase">
    <w:name w:val="Header Base"/>
    <w:basedOn w:val="BodyText"/>
    <w:qFormat/>
    <w:pPr>
      <w:keepLines/>
      <w:tabs>
        <w:tab w:val="clear" w:pos="720"/>
        <w:tab w:val="center" w:pos="4320" w:leader="none"/>
        <w:tab w:val="right" w:pos="8640" w:leader="none"/>
      </w:tabs>
      <w:spacing w:before="0" w:after="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spacing w:before="600" w:after="0"/>
    </w:pPr>
    <w:rPr>
      <w:sz w:val="18"/>
    </w:rPr>
  </w:style>
  <w:style w:type="paragraph" w:styleId="Header">
    <w:name w:val="header"/>
    <w:basedOn w:val="HeaderBase"/>
    <w:pPr>
      <w:spacing w:before="0" w:after="600"/>
    </w:pPr>
    <w:rPr/>
  </w:style>
  <w:style w:type="paragraph" w:styleId="HeadingBase">
    <w:name w:val="Heading Base"/>
    <w:basedOn w:val="BodyText"/>
    <w:next w:val="BodyText"/>
    <w:qFormat/>
    <w:pPr>
      <w:keepNext w:val="true"/>
      <w:keepLines/>
      <w:spacing w:before="0" w:after="0"/>
      <w:jc w:val="start"/>
    </w:pPr>
    <w:rPr>
      <w:rFonts w:ascii="Arial Black" w:hAnsi="Arial Black" w:cs="Arial Black"/>
      <w:spacing w:val="-10"/>
      <w:kern w:val="2"/>
    </w:rPr>
  </w:style>
  <w:style w:type="paragraph" w:styleId="MessageHeader">
    <w:name w:val="Message Header"/>
    <w:basedOn w:val="BodyText"/>
    <w:qFormat/>
    <w:pPr>
      <w:keepLines/>
      <w:spacing w:before="0" w:after="120"/>
      <w:ind w:hanging="720" w:start="720" w:end="0"/>
      <w:jc w:val="start"/>
    </w:pPr>
    <w:rPr/>
  </w:style>
  <w:style w:type="paragraph" w:styleId="MessageHeaderFirst">
    <w:name w:val="Message Header First"/>
    <w:basedOn w:val="MessageHeader"/>
    <w:next w:val="MessageHeader"/>
    <w:qFormat/>
    <w:pPr>
      <w:spacing w:before="220" w:after="120"/>
    </w:pPr>
    <w:rPr/>
  </w:style>
  <w:style w:type="paragraph" w:styleId="MessageHeaderLast">
    <w:name w:val="Message Header Last"/>
    <w:basedOn w:val="MessageHeader"/>
    <w:next w:val="BodyText"/>
    <w:qFormat/>
    <w:pPr>
      <w:pBdr>
        <w:bottom w:val="single" w:sz="6" w:space="15" w:color="000000"/>
      </w:pBdr>
      <w:spacing w:before="0" w:after="320"/>
    </w:pPr>
    <w:rPr/>
  </w:style>
  <w:style w:type="paragraph" w:styleId="NormalIndent">
    <w:name w:val="Normal Indent"/>
    <w:basedOn w:val="Normal"/>
    <w:qFormat/>
    <w:pPr>
      <w:ind w:hanging="0" w:start="720" w:end="0"/>
    </w:pPr>
    <w:rPr/>
  </w:style>
  <w:style w:type="paragraph" w:styleId="ReturnAddress">
    <w:name w:val="Return Address"/>
    <w:basedOn w:val="Normal"/>
    <w:qFormat/>
    <w:pPr>
      <w:keepLines/>
      <w:spacing w:lineRule="atLeast" w:line="200"/>
    </w:pPr>
    <w:rPr>
      <w:spacing w:val="-2"/>
      <w:sz w:val="16"/>
    </w:rPr>
  </w:style>
  <w:style w:type="paragraph" w:styleId="Signature">
    <w:name w:val="Signature"/>
    <w:basedOn w:val="BodyText"/>
    <w:pPr>
      <w:keepNext w:val="true"/>
      <w:keepLines/>
      <w:spacing w:before="660" w:after="0"/>
    </w:pPr>
    <w:rPr/>
  </w:style>
  <w:style w:type="paragraph" w:styleId="SignatureJobTitle">
    <w:name w:val="Signature Job Title"/>
    <w:basedOn w:val="Signature"/>
    <w:next w:val="Normal"/>
    <w:qFormat/>
    <w:pPr>
      <w:spacing w:before="0" w:after="0"/>
      <w:jc w:val="start"/>
    </w:pPr>
    <w:rPr/>
  </w:style>
  <w:style w:type="paragraph" w:styleId="SignatureName">
    <w:name w:val="Signature Name"/>
    <w:basedOn w:val="Signature"/>
    <w:next w:val="SignatureJobTitle"/>
    <w:qFormat/>
    <w:pPr>
      <w:spacing w:before="720" w:after="0"/>
      <w:jc w:val="start"/>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1440" w:start="1440" w:end="0"/>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Board Memo Template.dot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2000-11-07T12:56:00Z</dcterms:created>
  <dc:creator>Brian Theaker</dc:creator>
  <dc:description/>
  <dc:language>en-CA</dc:language>
  <cp:lastModifiedBy>Brian Theaker</cp:lastModifiedBy>
  <cp:lastPrinted>1998-10-15T16:00:00Z</cp:lastPrinted>
  <dcterms:modified xsi:type="dcterms:W3CDTF">2000-11-07T12:56:00Z</dcterms:modified>
  <cp:revision>2</cp:revision>
  <dc:subject/>
  <dc:title>Memo</dc:title>
</cp:coreProperties>
</file>