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Steve, I am going to use the form of your email message to insert comments, marked to facilitate your review.</w:t>
      </w:r>
    </w:p>
    <w:p>
      <w:pPr>
        <w:pStyle w:val="Normal"/>
        <w:rPr>
          <w:sz w:val="22"/>
        </w:rPr>
      </w:pPr>
      <w:r>
        <w:rPr>
          <w:sz w:val="22"/>
        </w:rPr>
      </w:r>
    </w:p>
    <w:p>
      <w:pPr>
        <w:pStyle w:val="Normal"/>
        <w:rPr>
          <w:sz w:val="22"/>
        </w:rPr>
      </w:pPr>
      <w:r>
        <w:rPr>
          <w:sz w:val="22"/>
        </w:rPr>
        <w:t>August 24, 2001</w:t>
      </w:r>
    </w:p>
    <w:p>
      <w:pPr>
        <w:pStyle w:val="Normal"/>
        <w:rPr>
          <w:sz w:val="22"/>
        </w:rPr>
      </w:pPr>
      <w:r>
        <w:rPr>
          <w:sz w:val="22"/>
        </w:rPr>
      </w:r>
    </w:p>
    <w:p>
      <w:pPr>
        <w:pStyle w:val="Normal"/>
        <w:rPr>
          <w:sz w:val="22"/>
        </w:rPr>
      </w:pPr>
      <w:r>
        <w:rPr>
          <w:sz w:val="22"/>
        </w:rPr>
        <w:t>From:  Patrick Mackin</w:t>
      </w:r>
    </w:p>
    <w:p>
      <w:pPr>
        <w:pStyle w:val="Normal"/>
        <w:rPr>
          <w:sz w:val="22"/>
        </w:rPr>
      </w:pPr>
      <w:r>
        <w:rPr>
          <w:sz w:val="22"/>
        </w:rPr>
      </w:r>
    </w:p>
    <w:p>
      <w:pPr>
        <w:pStyle w:val="Normal"/>
        <w:rPr>
          <w:sz w:val="22"/>
        </w:rPr>
      </w:pPr>
      <w:r>
        <w:rPr>
          <w:sz w:val="22"/>
        </w:rPr>
        <w:t>--------------------------------------------   Reply Separator   ----------------------------------------------------</w:t>
      </w:r>
    </w:p>
    <w:p>
      <w:pPr>
        <w:pStyle w:val="Normal"/>
        <w:rPr>
          <w:sz w:val="22"/>
        </w:rPr>
      </w:pPr>
      <w:r>
        <w:rPr>
          <w:sz w:val="22"/>
        </w:rPr>
      </w:r>
    </w:p>
    <w:p>
      <w:pPr>
        <w:pStyle w:val="Normal"/>
        <w:rPr>
          <w:sz w:val="22"/>
        </w:rPr>
      </w:pPr>
      <w:r>
        <w:rPr>
          <w:sz w:val="22"/>
        </w:rPr>
      </w:r>
    </w:p>
    <w:tbl>
      <w:tblPr>
        <w:tblW w:w="5000" w:type="pct"/>
        <w:jc w:val="start"/>
        <w:tblInd w:w="-15" w:type="dxa"/>
        <w:tblLayout w:type="fixed"/>
        <w:tblCellMar>
          <w:top w:w="15" w:type="dxa"/>
          <w:start w:w="15" w:type="dxa"/>
          <w:bottom w:w="15" w:type="dxa"/>
          <w:end w:w="15" w:type="dxa"/>
        </w:tblCellMar>
      </w:tblPr>
      <w:tblGrid>
        <w:gridCol w:w="936"/>
        <w:gridCol w:w="8424"/>
      </w:tblGrid>
      <w:tr>
        <w:trPr/>
        <w:tc>
          <w:tcPr>
            <w:tcW w:w="936" w:type="dxa"/>
            <w:tcBorders>
              <w:top w:val="thickThinLargeGap" w:sz="6" w:space="0" w:color="808080"/>
              <w:start w:val="thickThinLargeGap" w:sz="6" w:space="0" w:color="808080"/>
              <w:bottom w:val="thickThinLargeGap" w:sz="6" w:space="0" w:color="808080"/>
              <w:end w:val="thickThinLargeGap" w:sz="6" w:space="0" w:color="808080"/>
            </w:tcBorders>
            <w:shd w:fill="FFFFFF" w:val="clear"/>
          </w:tcPr>
          <w:p>
            <w:pPr>
              <w:pStyle w:val="Normal"/>
              <w:rPr>
                <w:sz w:val="22"/>
              </w:rPr>
            </w:pPr>
            <w:r>
              <w:rPr>
                <w:sz w:val="22"/>
              </w:rPr>
              <w:t xml:space="preserve">Subj: </w:t>
            </w:r>
          </w:p>
        </w:tc>
        <w:tc>
          <w:tcPr>
            <w:tcW w:w="842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sz w:val="22"/>
              </w:rPr>
            </w:pPr>
            <w:r>
              <w:rPr>
                <w:b/>
                <w:bCs/>
                <w:sz w:val="22"/>
              </w:rPr>
              <w:t>RE: FW: Communication and Policy Problems</w:t>
            </w:r>
          </w:p>
        </w:tc>
      </w:tr>
      <w:tr>
        <w:trPr/>
        <w:tc>
          <w:tcPr>
            <w:tcW w:w="936" w:type="dxa"/>
            <w:tcBorders>
              <w:top w:val="thickThinLargeGap" w:sz="6" w:space="0" w:color="808080"/>
              <w:start w:val="thickThinLargeGap" w:sz="6" w:space="0" w:color="808080"/>
              <w:bottom w:val="thickThinLargeGap" w:sz="6" w:space="0" w:color="808080"/>
              <w:end w:val="thickThinLargeGap" w:sz="6" w:space="0" w:color="808080"/>
            </w:tcBorders>
            <w:shd w:fill="FFFFFF" w:val="clear"/>
          </w:tcPr>
          <w:p>
            <w:pPr>
              <w:pStyle w:val="Normal"/>
              <w:rPr>
                <w:sz w:val="22"/>
              </w:rPr>
            </w:pPr>
            <w:r>
              <w:rPr>
                <w:sz w:val="22"/>
              </w:rPr>
              <w:t xml:space="preserve">Date: </w:t>
            </w:r>
          </w:p>
        </w:tc>
        <w:tc>
          <w:tcPr>
            <w:tcW w:w="8424" w:type="dxa"/>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sz w:val="22"/>
              </w:rPr>
            </w:pPr>
            <w:r>
              <w:rPr>
                <w:sz w:val="22"/>
              </w:rPr>
              <w:t>8/24/01 5:45:39 AM Pacific Daylight Time</w:t>
            </w:r>
          </w:p>
        </w:tc>
      </w:tr>
      <w:tr>
        <w:trPr/>
        <w:tc>
          <w:tcPr>
            <w:tcW w:w="9360" w:type="dxa"/>
            <w:gridSpan w:val="2"/>
            <w:tcBorders>
              <w:top w:val="thickThinLargeGap" w:sz="6" w:space="0" w:color="808080"/>
              <w:start w:val="thickThinLargeGap" w:sz="6" w:space="0" w:color="808080"/>
              <w:bottom w:val="thickThinLargeGap" w:sz="6" w:space="0" w:color="808080"/>
              <w:end w:val="thickThinLargeGap" w:sz="6" w:space="0" w:color="808080"/>
            </w:tcBorders>
            <w:shd w:fill="FFFFFF" w:val="clear"/>
            <w:vAlign w:val="center"/>
          </w:tcPr>
          <w:p>
            <w:pPr>
              <w:pStyle w:val="Normal"/>
              <w:rPr>
                <w:sz w:val="22"/>
              </w:rPr>
            </w:pPr>
            <w:r>
              <w:rPr>
                <w:i/>
                <w:iCs/>
                <w:sz w:val="22"/>
              </w:rPr>
              <w:t>From:    steve.kean@enron.com (Kean, Steven J.)</w:t>
              <w:br/>
              <w:t>To:    FMackin@aol.com, Cynthia.Barrow@ENRON.com (Barrow, Cynthia)</w:t>
              <w:br/>
              <w:t>CC:    Sharon.Butcher@ENRON.com (Butcher, Sharon), Kriste.Sullivan@ENRON.com (Sullivan, Kriste)</w:t>
            </w:r>
          </w:p>
        </w:tc>
      </w:tr>
    </w:tbl>
    <w:p>
      <w:pPr>
        <w:pStyle w:val="NormalWeb"/>
        <w:spacing w:before="100" w:after="240"/>
        <w:rPr/>
      </w:pPr>
      <w:r>
        <w:rPr>
          <w:sz w:val="22"/>
          <w:szCs w:val="20"/>
        </w:rPr>
        <w:br/>
        <w:t>Privileged and Confidential -- request for legal advice.</w:t>
        <w:br/>
        <w:br/>
        <w:t>Some further questions:</w:t>
        <w:br/>
        <w:br/>
        <w:br/>
        <w:t xml:space="preserve">*    </w:t>
        <w:br/>
        <w:br/>
        <w:t>    Are we required to have a formal severance plan?  Can we opt not to have a severance plan and simply handle matters on a case-by-case basis (perhaps with "rule of thumb" guidelines)?</w:t>
        <w:br/>
        <w:br/>
      </w:r>
      <w:r>
        <w:rPr>
          <w:rFonts w:cs="Arial" w:ascii="Arial" w:hAnsi="Arial"/>
          <w:sz w:val="18"/>
          <w:szCs w:val="20"/>
        </w:rPr>
        <w:t>[Comment:  There is no requirement to have a severance plan.  However, if an employer or groups of employers establish or follow a practice or arrangement to pay severance pay that is not exempt from ERSA as a simple payroll practice (i.e, two weeks pay, automatically with no conditions), then ERISA will apply to such practice or arrangement.  ERISA requires plan fiduciaries to administer the plan according to its terms in a uniform and consistent manner.  If this is not done, employees who do not receive special treatment or favoritisms extended to other employees regarding severance pay, can sue and recover damages.</w:t>
      </w:r>
    </w:p>
    <w:p>
      <w:pPr>
        <w:pStyle w:val="NormalWeb"/>
        <w:spacing w:before="100" w:after="240"/>
        <w:rPr>
          <w:sz w:val="22"/>
          <w:szCs w:val="20"/>
        </w:rPr>
      </w:pPr>
      <w:r>
        <w:rPr>
          <w:rFonts w:cs="Arial" w:ascii="Arial" w:hAnsi="Arial"/>
          <w:sz w:val="18"/>
          <w:szCs w:val="20"/>
        </w:rPr>
        <w:t>We might want to engage V&amp;E to research whether there would be any validity in stating in the Enron Severance Pay Plan that benefits payable under the plan can be paid on an arbitrary and capricious basis without any requirement as to uniformity among participants.  The problem with this is that what may be permitted in one federal circuit, may not be permitted in other federal circuits.  The Severance Pay Plan covers employees in multiple federal circuits.  And, even if you could do this, would you want to do it in consideration of the affect it could have on organizational culture and employee relations?  There is a productivity price tag that goes with treating employees in a way that some of them feel unfairly treated regarding the amount of severance pay.  Distraction regarding equitable treatment can have an adverse impact on productivity and can be reflected in the bottom line.]</w:t>
      </w:r>
    </w:p>
    <w:p>
      <w:pPr>
        <w:pStyle w:val="NormalWeb"/>
        <w:spacing w:before="100" w:after="240"/>
        <w:rPr/>
      </w:pPr>
      <w:r>
        <w:rPr>
          <w:sz w:val="22"/>
          <w:szCs w:val="20"/>
        </w:rPr>
        <w:t xml:space="preserve">*    </w:t>
        <w:br/>
        <w:br/>
        <w:t>If we are required to have such a plan, should we centrally administer the plan to avoid inconsistencies?</w:t>
        <w:br/>
        <w:br/>
        <w:t>My original message regarding the employee involved was raising a somewhat broader concern.  Perhaps because our plans are complicated, we have had occasions where an employee was told something, what he/she was told was incorrect, he/she changed position based on what he/she was told, and then we made the employee bear the risk of the mistake.  Obviously, the right answer is to get it right the first time, but on those occasions where we made the mistake, do we have the flexibility to fix it?</w:t>
        <w:br/>
        <w:br/>
      </w:r>
      <w:r>
        <w:rPr>
          <w:rFonts w:cs="Arial" w:ascii="Arial" w:hAnsi="Arial"/>
          <w:sz w:val="18"/>
          <w:szCs w:val="20"/>
        </w:rPr>
        <w:t>[Comment:  There are two ways to solve the problem you described.  One would be centralized administration.  Even with centralized administration, HR generalists or managers in different employers can still make incorrect statements to employees about what their severance benefits are.  The other way would be to have training that certifies certain employees to speak on behalf of the Severance Pay Plan.  The problem you describe is really a symptom of a lack of training, poor training or the inability of the employee(s) who made the mistake to learn.  Even with centralized administration, effective training is required.</w:t>
      </w:r>
    </w:p>
    <w:p>
      <w:pPr>
        <w:pStyle w:val="NormalWeb"/>
        <w:spacing w:before="100" w:after="240"/>
        <w:rPr>
          <w:rFonts w:ascii="Arial" w:hAnsi="Arial" w:cs="Arial"/>
          <w:sz w:val="18"/>
          <w:szCs w:val="20"/>
        </w:rPr>
      </w:pPr>
      <w:r>
        <w:rPr>
          <w:rFonts w:cs="Arial" w:ascii="Arial" w:hAnsi="Arial"/>
          <w:sz w:val="18"/>
          <w:szCs w:val="20"/>
        </w:rPr>
        <w:t>You can consider adopting an administrative policy that no one can address severance pay issues unless they have been certified to do so.  Certification would require formal training and testing, and retraining whenever the plan is amended or every second year.</w:t>
      </w:r>
    </w:p>
    <w:p>
      <w:pPr>
        <w:pStyle w:val="NormalWeb"/>
        <w:spacing w:before="100" w:after="240"/>
        <w:rPr>
          <w:rFonts w:ascii="Arial" w:hAnsi="Arial" w:cs="Arial"/>
          <w:color w:val="0F0F0F"/>
          <w:sz w:val="18"/>
          <w:szCs w:val="20"/>
          <w:shd w:fill="FFFFFE" w:val="clear"/>
        </w:rPr>
      </w:pPr>
      <w:r>
        <w:rPr>
          <w:rFonts w:cs="Arial" w:ascii="Arial" w:hAnsi="Arial"/>
          <w:sz w:val="18"/>
          <w:szCs w:val="20"/>
        </w:rPr>
        <w:t xml:space="preserve">In a circumstance where the incorrect statement is in clear contradiction of the provisions of the plan document, I think you can fix the problem as long as the summary plan description has been distributed to the affected employee and the plan document is readily available.  There is a difference between being able to fix the problem and having the fortitude to fix it when a mistake has been made.  In the problem you described, Enron could have said, “A mistake was made, the Plan is clear in that you are not entitled to a severance benefit and you are not going to receive a severance payment.”   </w:t>
      </w:r>
    </w:p>
    <w:p>
      <w:pPr>
        <w:pStyle w:val="Normal"/>
        <w:rPr>
          <w:rFonts w:ascii="Arial" w:hAnsi="Arial" w:cs="Arial"/>
          <w:sz w:val="18"/>
        </w:rPr>
      </w:pPr>
      <w:r>
        <w:rPr>
          <w:rFonts w:cs="Arial" w:ascii="Arial" w:hAnsi="Arial"/>
          <w:sz w:val="18"/>
        </w:rPr>
        <w:t>Steve, I hope these comments will be helpful.</w:t>
      </w:r>
    </w:p>
    <w:p>
      <w:pPr>
        <w:pStyle w:val="Normal"/>
        <w:rPr>
          <w:rFonts w:ascii="Arial" w:hAnsi="Arial" w:cs="Arial"/>
          <w:sz w:val="18"/>
        </w:rPr>
      </w:pPr>
      <w:r>
        <w:rPr>
          <w:rFonts w:cs="Arial" w:ascii="Arial" w:hAnsi="Arial"/>
          <w:sz w:val="18"/>
        </w:rPr>
      </w:r>
    </w:p>
    <w:p>
      <w:pPr>
        <w:pStyle w:val="Normal"/>
        <w:rPr>
          <w:sz w:val="22"/>
        </w:rPr>
      </w:pPr>
      <w:r>
        <w:rPr>
          <w:rFonts w:cs="Arial" w:ascii="Arial" w:hAnsi="Arial"/>
          <w:sz w:val="18"/>
        </w:rPr>
        <w:t>Pat]</w:t>
      </w:r>
    </w:p>
    <w:p>
      <w:pPr>
        <w:pStyle w:val="Normal"/>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overflowPunct w:val="true"/>
      <w:autoSpaceDE w:val="true"/>
      <w:spacing w:before="100" w:after="100"/>
      <w:textAlignment w:val="auto"/>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2001-08-24T12:21:00Z</dcterms:created>
  <dc:creator>Mackin</dc:creator>
  <dc:description/>
  <dc:language>en-CA</dc:language>
  <cp:lastModifiedBy>Mackin</cp:lastModifiedBy>
  <dcterms:modified xsi:type="dcterms:W3CDTF">2001-08-24T15:19:00Z</dcterms:modified>
  <cp:revision>1</cp:revision>
  <dc:subject/>
  <dc:title>Steve, I am going to use the form of your email message to insert comments, marked to facilitate your review</dc:title>
</cp:coreProperties>
</file>