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SPP – Market Liquidity</w:t>
      </w:r>
    </w:p>
    <w:p>
      <w:pPr>
        <w:pStyle w:val="Normal"/>
        <w:jc w:val="center"/>
        <w:rPr>
          <w:b/>
          <w:bCs/>
          <w:sz w:val="32"/>
        </w:rPr>
      </w:pPr>
      <w:r>
        <w:rPr>
          <w:b/>
          <w:bCs/>
          <w:sz w:val="32"/>
        </w:rPr>
      </w:r>
    </w:p>
    <w:p>
      <w:pPr>
        <w:pStyle w:val="Subtitle"/>
        <w:rPr/>
      </w:pPr>
      <w:r>
        <w:rPr/>
        <w:t xml:space="preserve">Selected sample: </w:t>
      </w:r>
    </w:p>
    <w:p>
      <w:pPr>
        <w:pStyle w:val="Subtitle"/>
        <w:numPr>
          <w:ilvl w:val="0"/>
          <w:numId w:val="1"/>
        </w:numPr>
        <w:rPr/>
      </w:pPr>
      <w:r>
        <w:rPr/>
        <w:t>Transactions taking place on October 17, 2001</w:t>
      </w:r>
    </w:p>
    <w:p>
      <w:pPr>
        <w:pStyle w:val="Subtitle"/>
        <w:numPr>
          <w:ilvl w:val="0"/>
          <w:numId w:val="1"/>
        </w:numPr>
        <w:rPr/>
      </w:pPr>
      <w:r>
        <w:rPr/>
        <w:t>Considered a “ typical”  day in the fall – usually market more active in the summer</w:t>
      </w:r>
    </w:p>
    <w:p>
      <w:pPr>
        <w:pStyle w:val="Subtitle"/>
        <w:numPr>
          <w:ilvl w:val="0"/>
          <w:numId w:val="1"/>
        </w:numPr>
        <w:rPr/>
      </w:pPr>
      <w:r>
        <w:rPr/>
        <w:t>Enron on line only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Trading intensity:</w:t>
      </w:r>
    </w:p>
    <w:p>
      <w:pPr>
        <w:pStyle w:val="Subtitle"/>
        <w:numPr>
          <w:ilvl w:val="0"/>
          <w:numId w:val="1"/>
        </w:numPr>
        <w:rPr/>
      </w:pPr>
      <w:r>
        <w:rPr/>
        <w:t>334 transactions requested (probably on the lower side)</w:t>
      </w:r>
    </w:p>
    <w:p>
      <w:pPr>
        <w:pStyle w:val="Subtitle"/>
        <w:numPr>
          <w:ilvl w:val="0"/>
          <w:numId w:val="1"/>
        </w:numPr>
        <w:rPr/>
      </w:pPr>
      <w:r>
        <w:rPr/>
        <w:t>From those, more than 95% accepted</w:t>
      </w:r>
    </w:p>
    <w:p>
      <w:pPr>
        <w:pStyle w:val="Subtitle"/>
        <w:numPr>
          <w:ilvl w:val="0"/>
          <w:numId w:val="1"/>
        </w:numPr>
        <w:rPr/>
      </w:pPr>
      <w:r>
        <w:rPr/>
        <w:t>Only a few denied or rejected for T constraintes</w:t>
      </w:r>
    </w:p>
    <w:p>
      <w:pPr>
        <w:pStyle w:val="Subtitle"/>
        <w:numPr>
          <w:ilvl w:val="0"/>
          <w:numId w:val="1"/>
        </w:numPr>
        <w:rPr/>
      </w:pPr>
      <w:r>
        <w:rPr/>
        <w:t>All this information is in public domain (OATi system)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A typical transaction:</w:t>
      </w:r>
    </w:p>
    <w:p>
      <w:pPr>
        <w:pStyle w:val="Subtitle"/>
        <w:numPr>
          <w:ilvl w:val="0"/>
          <w:numId w:val="1"/>
        </w:numPr>
        <w:rPr/>
      </w:pPr>
      <w:r>
        <w:rPr/>
        <w:t>Buing and or selling, in several directions</w:t>
      </w:r>
    </w:p>
    <w:p>
      <w:pPr>
        <w:pStyle w:val="Subtitle"/>
        <w:numPr>
          <w:ilvl w:val="0"/>
          <w:numId w:val="1"/>
        </w:numPr>
        <w:rPr/>
      </w:pPr>
      <w:r>
        <w:rPr/>
        <w:t>All physical – transmission has to be arranged</w:t>
      </w:r>
    </w:p>
    <w:p>
      <w:pPr>
        <w:pStyle w:val="Subtitle"/>
        <w:numPr>
          <w:ilvl w:val="0"/>
          <w:numId w:val="1"/>
        </w:numPr>
        <w:rPr/>
      </w:pPr>
      <w:r>
        <w:rPr/>
        <w:t>Average 50 MW – duration varying from 1 hour to 1 day</w:t>
      </w:r>
    </w:p>
    <w:p>
      <w:pPr>
        <w:pStyle w:val="Subtitle"/>
        <w:numPr>
          <w:ilvl w:val="0"/>
          <w:numId w:val="1"/>
        </w:numPr>
        <w:rPr/>
      </w:pPr>
      <w:r>
        <w:rPr/>
        <w:t>Includes energy traded within SPP and across SPP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Liquitidy compared to other Power Pools</w:t>
      </w:r>
    </w:p>
    <w:p>
      <w:pPr>
        <w:pStyle w:val="Subtitle"/>
        <w:numPr>
          <w:ilvl w:val="0"/>
          <w:numId w:val="1"/>
        </w:numPr>
        <w:rPr/>
      </w:pPr>
      <w:r>
        <w:rPr/>
        <w:t>Much less than PJM or ERCOT</w:t>
      </w:r>
    </w:p>
    <w:p>
      <w:pPr>
        <w:pStyle w:val="Subtitle"/>
        <w:numPr>
          <w:ilvl w:val="0"/>
          <w:numId w:val="1"/>
        </w:numPr>
        <w:rPr/>
      </w:pPr>
      <w:r>
        <w:rPr/>
        <w:t>For example, PJM 2K (?) transactions, involving financial contracts</w:t>
      </w:r>
    </w:p>
    <w:p>
      <w:pPr>
        <w:pStyle w:val="Subtitle"/>
        <w:numPr>
          <w:ilvl w:val="0"/>
          <w:numId w:val="1"/>
        </w:numPr>
        <w:rPr/>
      </w:pPr>
      <w:r>
        <w:rPr/>
        <w:t>No major hubs</w:t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  <w:t>In conclusion</w:t>
      </w:r>
    </w:p>
    <w:p>
      <w:pPr>
        <w:pStyle w:val="Subtitle"/>
        <w:numPr>
          <w:ilvl w:val="0"/>
          <w:numId w:val="1"/>
        </w:numPr>
        <w:rPr/>
      </w:pPr>
      <w:r>
        <w:rPr/>
        <w:t>Not a perfect example of market liquidity</w:t>
      </w:r>
    </w:p>
    <w:p>
      <w:pPr>
        <w:pStyle w:val="Subtitle"/>
        <w:numPr>
          <w:ilvl w:val="0"/>
          <w:numId w:val="1"/>
        </w:numPr>
        <w:rPr/>
      </w:pPr>
      <w:r>
        <w:rPr/>
        <w:t>But transactions are going on</w:t>
      </w:r>
    </w:p>
    <w:p>
      <w:pPr>
        <w:pStyle w:val="Subtitle"/>
        <w:numPr>
          <w:ilvl w:val="0"/>
          <w:numId w:val="1"/>
        </w:numPr>
        <w:rPr/>
      </w:pPr>
      <w:r>
        <w:rPr/>
        <w:t>Energy Retail Providers will be at par with Enron when dealing with buying/selling</w:t>
      </w:r>
    </w:p>
    <w:p>
      <w:pPr>
        <w:pStyle w:val="Subtitle"/>
        <w:numPr>
          <w:ilvl w:val="0"/>
          <w:numId w:val="1"/>
        </w:numPr>
        <w:rPr/>
      </w:pPr>
      <w:r>
        <w:rPr/>
        <w:t>Therefore, lack of liquidity should not be used as an excuse for delaying  retail competition</w:t>
      </w:r>
    </w:p>
    <w:p>
      <w:pPr>
        <w:pStyle w:val="Subtitle"/>
        <w:ind w:start="720" w:end="0"/>
        <w:rPr/>
      </w:pPr>
      <w:r>
        <w:rPr/>
      </w:r>
    </w:p>
    <w:p>
      <w:pPr>
        <w:pStyle w:val="Subtitle"/>
        <w:ind w:start="720" w:end="0"/>
        <w:rPr/>
      </w:pPr>
      <w:r>
        <w:rPr/>
      </w:r>
    </w:p>
    <w:p>
      <w:pPr>
        <w:pStyle w:val="Subtitle"/>
        <w:ind w:start="720" w:end="0"/>
        <w:rPr/>
      </w:pPr>
      <w:r>
        <w:rPr/>
      </w:r>
    </w:p>
    <w:p>
      <w:pPr>
        <w:pStyle w:val="Subtitle"/>
        <w:rPr/>
      </w:pPr>
      <w:r>
        <w:rPr/>
      </w:r>
    </w:p>
    <w:p>
      <w:pPr>
        <w:pStyle w:val="Subtitle"/>
        <w:rPr/>
      </w:pPr>
      <w:r>
        <w:rPr/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start"/>
      <w:pPr>
        <w:tabs>
          <w:tab w:val="num" w:pos="1440"/>
        </w:tabs>
        <w:ind w:start="1440" w:hanging="720"/>
      </w:pPr>
      <w:rPr>
        <w:rFonts w:ascii="Times New Roman" w:hAnsi="Times New Roman" w:cs="Times New Roman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/>
    <w:rPr>
      <w:sz w:val="32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2001-10-19T16:35:00Z</dcterms:created>
  <dc:creator>jryall</dc:creator>
  <dc:description/>
  <dc:language>en-CA</dc:language>
  <cp:lastModifiedBy>lmaurer</cp:lastModifiedBy>
  <cp:lastPrinted>2001-10-18T11:18:00Z</cp:lastPrinted>
  <dcterms:modified xsi:type="dcterms:W3CDTF">2001-10-19T16:35:00Z</dcterms:modified>
  <cp:revision>2</cp:revision>
  <dc:subject/>
  <dc:title>SPP – Market Liquidity</dc:title>
</cp:coreProperties>
</file>