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8"/>
        </w:rPr>
      </w:pPr>
      <w:r>
        <w:rPr>
          <w:sz w:val="28"/>
        </w:rPr>
        <w:t>SPECIAL PROVISIONS</w:t>
      </w:r>
    </w:p>
    <w:p>
      <w:pPr>
        <w:pStyle w:val="Normal"/>
        <w:jc w:val="center"/>
        <w:rPr>
          <w:b/>
        </w:rPr>
      </w:pPr>
      <w:r>
        <w:rPr>
          <w:b/>
        </w:rPr>
        <w:t>{GISB Attachment}</w:t>
      </w:r>
    </w:p>
    <w:p>
      <w:pPr>
        <w:pStyle w:val="BodyText"/>
        <w:rPr>
          <w:b/>
        </w:rPr>
      </w:pPr>
      <w:r>
        <w:rPr>
          <w:b/>
        </w:rPr>
      </w:r>
    </w:p>
    <w:p>
      <w:pPr>
        <w:pStyle w:val="Normal"/>
        <w:rPr>
          <w:sz w:val="24"/>
        </w:rPr>
      </w:pPr>
      <w:r>
        <w:rPr>
          <w:sz w:val="24"/>
        </w:rPr>
        <w:t xml:space="preserve">Special Provision to Base Contract for Short-Term Sale and Purchase of Natural Gas dated </w:t>
      </w:r>
    </w:p>
    <w:p>
      <w:pPr>
        <w:pStyle w:val="Normal"/>
        <w:rPr>
          <w:sz w:val="24"/>
        </w:rPr>
      </w:pPr>
      <w:r>
        <w:rPr>
          <w:sz w:val="24"/>
        </w:rPr>
        <w:t>______________, 2001, between Equitable Energy, LLC and ______________.</w:t>
      </w:r>
    </w:p>
    <w:p>
      <w:pPr>
        <w:pStyle w:val="Normal"/>
        <w:rPr>
          <w:sz w:val="24"/>
        </w:rPr>
      </w:pPr>
      <w:r>
        <w:rPr>
          <w:sz w:val="24"/>
        </w:rPr>
      </w:r>
    </w:p>
    <w:p>
      <w:pPr>
        <w:pStyle w:val="Normal"/>
        <w:ind w:hanging="720" w:start="720" w:end="0"/>
        <w:rPr/>
      </w:pPr>
      <w:r>
        <w:rPr/>
        <w:t>1.</w:t>
        <w:tab/>
        <w:t xml:space="preserve">The following shall be added to </w:t>
      </w:r>
      <w:r>
        <w:rPr>
          <w:b/>
          <w:i/>
        </w:rPr>
        <w:t>"SECTION 7.  BILLING, PAYMENT AND AUDIT"</w:t>
      </w:r>
      <w:r>
        <w:rPr/>
        <w:t xml:space="preserve"> as Section 7.5:</w:t>
      </w:r>
    </w:p>
    <w:p>
      <w:pPr>
        <w:pStyle w:val="Normal"/>
        <w:rPr/>
      </w:pPr>
      <w:r>
        <w:rPr/>
      </w:r>
    </w:p>
    <w:p>
      <w:pPr>
        <w:pStyle w:val="Normal"/>
        <w:ind w:firstLine="720" w:start="720" w:end="0"/>
        <w:jc w:val="both"/>
        <w:rPr/>
      </w:pPr>
      <w:r>
        <w:rPr/>
        <w:t>"7.5.</w:t>
        <w:tab/>
        <w:t>Notwithstanding any provision of this Agreement to the contrary, if in any Month (each, a "Relevant Month") each of the parties is required to pay one or more amounts under this Agreement to the other party for Gas that was delivered and received, and/or that should have been delivered or received, in the immediately preceding Month, then all such amounts owed by one party shall be offset against all such amounts owed by the other party so that only the net amount (the "Net Amount") shall be paid by the party having the greater payment obligation for the Relevant Month.  MidWest shall determine the Net Amount for each Relevant Month and shall notify Counterparty of such Net Amount and the identity of the party that owes it.  The Net Amount shall be payable by the party that owes it on or before the later of the date that a payment otherwise would have been due from such party under Section 7.2 or 2 days after Counterparty's receipt or MidWest's issuance, as applicable, of the notice referred to in the immediately preceding sentence.  The parties shall confer and cooperate as appropriate to administer this Section 7.5.</w:t>
      </w:r>
    </w:p>
    <w:p>
      <w:pPr>
        <w:pStyle w:val="Normal"/>
        <w:rPr/>
      </w:pPr>
      <w:r>
        <w:rPr/>
      </w:r>
    </w:p>
    <w:p>
      <w:pPr>
        <w:pStyle w:val="Normal"/>
        <w:ind w:hanging="720" w:start="720" w:end="0"/>
        <w:jc w:val="both"/>
        <w:rPr/>
      </w:pPr>
      <w:r>
        <w:rPr/>
        <w:t>2.</w:t>
        <w:tab/>
        <w:t>The third (3</w:t>
      </w:r>
      <w:r>
        <w:rPr>
          <w:vertAlign w:val="superscript"/>
        </w:rPr>
        <w:t>rd</w:t>
      </w:r>
      <w:r>
        <w:rPr/>
        <w:t>) and fourth (4</w:t>
      </w:r>
      <w:r>
        <w:rPr>
          <w:vertAlign w:val="superscript"/>
        </w:rPr>
        <w:t>th</w:t>
      </w:r>
      <w:r>
        <w:rPr/>
        <w:t xml:space="preserve">) sentences of </w:t>
      </w:r>
      <w:r>
        <w:rPr>
          <w:b/>
          <w:i/>
        </w:rPr>
        <w:t>"SECTION 10.  FINANCIAL RESPONSIBILITY"</w:t>
      </w:r>
      <w:r>
        <w:rPr>
          <w:i/>
        </w:rPr>
        <w:t xml:space="preserve"> </w:t>
      </w:r>
      <w:r>
        <w:rPr/>
        <w:t>shall be deleted in their entirety and replaced with the following:</w:t>
      </w:r>
    </w:p>
    <w:p>
      <w:pPr>
        <w:pStyle w:val="Normal"/>
        <w:rPr/>
      </w:pPr>
      <w:r>
        <w:rPr/>
      </w:r>
    </w:p>
    <w:p>
      <w:pPr>
        <w:pStyle w:val="Normal"/>
        <w:ind w:firstLine="720" w:start="720" w:end="0"/>
        <w:jc w:val="both"/>
        <w:rPr/>
      </w:pPr>
      <w:r>
        <w:rPr/>
        <w:t>"In the event (each a "Default") either party (the "Defaulting Party") shall (i) make an assignment or any general arrangement for the benefit of creditors, (ii) become bankrupt or insolvent, however evidenced, or be unable to pay its debts as they fall due, (iii) file a petition or otherwise commence a proceeding under any bankruptcy, insolvency, reorganization or similar law; or have any such petition filed or proceeding commenced against it, (iv) have a liquidator, administrator, receiver or trustee appointed with respect to it or any substantial portion of its property or assets, (v) fail to pay or perform, when due, any obligation to the other party (the "Non-Defaulting Party"), whether under this Agreement, any transaction under this Agreement or in connection with credit support obligations relating to this Agreement (other than its obligations to deliver or receive natural gas, the exclusive remedy for which is provided in Section 3.2 hereof) and such failure is not cured within two (2) Business Days after written notice thereof to the Defaulting Party, or (vi) fail to provide adequate assurance of its ability to perform all of its outstanding obligations to the Non-Defaulting Party under this Agreement or any transaction under this Agreement within a period not to exceed 48 hours (but at least two Business Days) of a demand therefor when the Non-Defaulting Party has reasonable grounds for insecurity, then in any such event the Non-Defaulting Party shall have the right, without notice, to liquidate any or all Forward Contracts (including any portion of a Forward Contract not yet fully delivered) then outstanding at any time or from time to time thereafter by:</w:t>
      </w:r>
    </w:p>
    <w:p>
      <w:pPr>
        <w:pStyle w:val="Normal"/>
        <w:rPr/>
      </w:pPr>
      <w:r>
        <w:rPr/>
      </w:r>
    </w:p>
    <w:p>
      <w:pPr>
        <w:pStyle w:val="Normal"/>
        <w:ind w:start="1440" w:end="0"/>
        <w:rPr/>
      </w:pPr>
      <w:r>
        <w:rPr/>
        <w:t>10.1.1</w:t>
        <w:tab/>
        <w:t>Closing out each priced Forward Contract or priced portion of a Forward Contract being liquidated at its Market Value, as defined below, so that each such Forward Contract is canceled and a settlement payment in an amount equal to the difference between such Market Value and the Contract Value, as defined below, of such Forward Contract shall be due to the Buyer under the Forward Contract if such Market Value exceeds the Contract Value and to the Seller if the opposite is the case; and</w:t>
      </w:r>
    </w:p>
    <w:p>
      <w:pPr>
        <w:pStyle w:val="Normal"/>
        <w:rPr/>
      </w:pPr>
      <w:r>
        <w:rPr/>
      </w:r>
    </w:p>
    <w:p>
      <w:pPr>
        <w:pStyle w:val="Normal"/>
        <w:ind w:start="1440" w:end="0"/>
        <w:jc w:val="both"/>
        <w:rPr/>
      </w:pPr>
      <w:r>
        <w:rPr/>
        <w:t>10.1.2</w:t>
        <w:tab/>
        <w:t>Closing out each unpriced Forward Contract or unpriced portion of a Forward Contract being liquidated at the amount, if any, which the Non-Defaulting Party would have to pay or would receive if it were to replace such Forward Contract, such settlement payment to be determined by the Non-Defaulting Party in a commercially reasonable manner and to be due to the Non-Defaulting Party if a payment and to the Defaulting Party if an amount to be received; and</w:t>
      </w:r>
    </w:p>
    <w:p>
      <w:pPr>
        <w:pStyle w:val="Normal"/>
        <w:rPr/>
      </w:pPr>
      <w:r>
        <w:rPr/>
      </w:r>
    </w:p>
    <w:p>
      <w:pPr>
        <w:pStyle w:val="Normal"/>
        <w:ind w:start="1440" w:end="0"/>
        <w:jc w:val="both"/>
        <w:rPr/>
      </w:pPr>
      <w:r>
        <w:rPr/>
        <w:t>10.1.3</w:t>
        <w:tab/>
        <w:t>Discounting each amount then due under Section 10.1.1 to present value as at the time of liquidation (to take account of the period between the date of liquidation and the date on which such amount would have otherwise been due pursuant to the relevant Forward Contract);</w:t>
      </w:r>
    </w:p>
    <w:p>
      <w:pPr>
        <w:pStyle w:val="Normal"/>
        <w:rPr/>
      </w:pPr>
      <w:r>
        <w:rPr/>
      </w:r>
    </w:p>
    <w:p>
      <w:pPr>
        <w:pStyle w:val="Normal"/>
        <w:ind w:start="1440" w:end="0"/>
        <w:jc w:val="both"/>
        <w:rPr/>
      </w:pPr>
      <w:r>
        <w:rPr/>
        <w:t>10.1.4</w:t>
        <w:tab/>
        <w:t>Setting off or aggregating, as appropriate, any or all settlement payments (discounted as appropriate) and (at the election of the Non-Defaulting Party) any or all other amounts owing between the parties under this Agreement or under any Forward Contract so that all such amounts are aggregated and/or netted to a single liquidated amount payable by one party to the other."</w:t>
      </w:r>
    </w:p>
    <w:p>
      <w:pPr>
        <w:pStyle w:val="Normal"/>
        <w:rPr/>
      </w:pPr>
      <w:r>
        <w:rPr/>
      </w:r>
    </w:p>
    <w:p>
      <w:pPr>
        <w:pStyle w:val="Normal"/>
        <w:ind w:firstLine="720" w:start="720" w:end="0"/>
        <w:jc w:val="both"/>
        <w:rPr/>
      </w:pPr>
      <w:r>
        <w:rPr/>
        <w:t>The net amount due after any such liquidation shall be paid by the close of business on the next business day.  However, notwithstanding any provision to the contrary contained in this Agreement or any Transaction Confirmation, the Non-Defaulting Party shall not be required to pay to the Defaulting Party any net amount due as a result of a liquidation of any or all Forward Contracts until the Non-Defaulting Party receives confirmation satisfactory to it in its reasonable discretion that all obligations of any kind whatsoever of the Defaulting Party to make any payments or deliveries to the Non-Defaulting Party under this Agreement or otherwise shall have been fully and finally performed."</w:t>
      </w:r>
    </w:p>
    <w:p>
      <w:pPr>
        <w:pStyle w:val="Normal"/>
        <w:ind w:start="1440" w:end="0"/>
        <w:jc w:val="both"/>
        <w:rPr/>
      </w:pPr>
      <w:r>
        <w:rPr/>
      </w:r>
    </w:p>
    <w:p>
      <w:pPr>
        <w:pStyle w:val="Normal"/>
        <w:rPr/>
      </w:pPr>
      <w:r>
        <w:rPr/>
      </w:r>
    </w:p>
    <w:p>
      <w:pPr>
        <w:pStyle w:val="Normal"/>
        <w:ind w:hanging="720" w:start="720" w:end="0"/>
        <w:rPr/>
      </w:pPr>
      <w:r>
        <w:rPr/>
        <w:t>3.</w:t>
        <w:tab/>
        <w:t xml:space="preserve">The following shall be added to </w:t>
      </w:r>
      <w:r>
        <w:rPr>
          <w:b/>
          <w:i/>
        </w:rPr>
        <w:t>"SECTION 13.</w:t>
      </w:r>
      <w:r>
        <w:rPr>
          <w:b/>
        </w:rPr>
        <w:t xml:space="preserve"> </w:t>
      </w:r>
      <w:r>
        <w:rPr>
          <w:b/>
          <w:i/>
        </w:rPr>
        <w:t>MISCELLANEOUS"</w:t>
      </w:r>
      <w:r>
        <w:rPr>
          <w:i/>
        </w:rPr>
        <w:t xml:space="preserve"> </w:t>
      </w:r>
      <w:r>
        <w:rPr/>
        <w:t>as a new Section 13.9:</w:t>
      </w:r>
    </w:p>
    <w:p>
      <w:pPr>
        <w:pStyle w:val="Normal"/>
        <w:rPr/>
      </w:pPr>
      <w:r>
        <w:rPr/>
      </w:r>
    </w:p>
    <w:p>
      <w:pPr>
        <w:pStyle w:val="Normal"/>
        <w:rPr/>
      </w:pPr>
      <w:r>
        <w:rPr/>
        <w:t>13. 9.</w:t>
        <w:tab/>
        <w:t>Notwithstanding any other provision of this Contract to the contrary, with regard to references to "Imbalance Charges" in Sections 2.15, 2.18, 4.3, 11.1 and 11.3, it is understood and agreed that upon receiving notice of Force Majeure, the party not claiming Force Majeure shall adjust nominations with its Transporter(s) to account for any change in quantities to be delivered or received. Such nomination change shall be made as soon as practicable after receipt of notice of such event of Force Majeure, but not later than the next Business Day thereafter if practicable."</w:t>
      </w:r>
      <w:r>
        <w:rPr>
          <w:rStyle w:val="FootnoteCharacters"/>
          <w:rStyle w:val="FootnoteReference"/>
        </w:rPr>
        <w:footnoteReference w:id="2"/>
      </w:r>
    </w:p>
    <w:p>
      <w:pPr>
        <w:pStyle w:val="Normal"/>
        <w:rPr/>
      </w:pPr>
      <w:r>
        <w:rPr/>
      </w:r>
    </w:p>
    <w:p>
      <w:pPr>
        <w:pStyle w:val="Normal"/>
        <w:ind w:hanging="720" w:start="720" w:end="0"/>
        <w:rPr/>
      </w:pPr>
      <w:r>
        <w:rPr/>
        <w:t>4.</w:t>
        <w:tab/>
        <w:t xml:space="preserve">The following shall be added to </w:t>
      </w:r>
      <w:r>
        <w:rPr>
          <w:b/>
          <w:i/>
        </w:rPr>
        <w:t>"SECTION 13.</w:t>
      </w:r>
      <w:r>
        <w:rPr>
          <w:b/>
        </w:rPr>
        <w:t xml:space="preserve"> </w:t>
      </w:r>
      <w:r>
        <w:rPr>
          <w:b/>
          <w:i/>
        </w:rPr>
        <w:t>MISCELLANEOUS"</w:t>
      </w:r>
      <w:r>
        <w:rPr>
          <w:i/>
        </w:rPr>
        <w:t xml:space="preserve"> </w:t>
      </w:r>
      <w:r>
        <w:rPr/>
        <w:t>as a new Section 13.10:</w:t>
      </w:r>
    </w:p>
    <w:p>
      <w:pPr>
        <w:pStyle w:val="Normal"/>
        <w:rPr/>
      </w:pPr>
      <w:r>
        <w:rPr/>
      </w:r>
    </w:p>
    <w:p>
      <w:pPr>
        <w:pStyle w:val="BodyText"/>
        <w:rPr/>
      </w:pPr>
      <w:r>
        <w:rPr>
          <w:sz w:val="20"/>
        </w:rPr>
        <w:t>13.10.</w:t>
      </w:r>
      <w:r>
        <w:rPr/>
        <w:tab/>
      </w:r>
      <w:r>
        <w:rPr>
          <w:sz w:val="20"/>
        </w:rPr>
        <w:t>Notwithstanding the language of Paragraph 1.2, Oral Transaction Procedure, each of the parties hereto (I) consents to the recording of the telephone conversations of their respective trading and marketing personnel in connection with this Contract, and (ii) agrees that any such electronic recording may be submitted in evidence in any suit, action or other proceedings in relation to this contract without objection to the admissibility under the statute of frauds, the hearsay rule, the best evidence rule or other rule of evidence.</w:t>
      </w:r>
      <w:r>
        <w:rPr/>
        <w:t xml:space="preserve"> </w:t>
      </w:r>
    </w:p>
    <w:p>
      <w:pPr>
        <w:pStyle w:val="Normal"/>
        <w:rPr>
          <w:sz w:val="24"/>
        </w:rPr>
      </w:pPr>
      <w:r>
        <w:rPr>
          <w:sz w:val="24"/>
        </w:rPr>
      </w:r>
    </w:p>
    <w:p>
      <w:pPr>
        <w:pStyle w:val="Normal"/>
        <w:rPr/>
      </w:pPr>
      <w:r>
        <w:rPr>
          <w:b/>
          <w:sz w:val="24"/>
          <w:u w:val="single"/>
        </w:rPr>
        <w:t>Equitable Energy, LLC</w:t>
      </w:r>
      <w:r>
        <w:rPr>
          <w:b/>
          <w:sz w:val="24"/>
        </w:rPr>
        <w:tab/>
        <w:tab/>
        <w:tab/>
      </w:r>
      <w:r>
        <w:rPr>
          <w:b/>
          <w:sz w:val="24"/>
          <w:u w:val="single"/>
        </w:rPr>
        <w:t>“Customer”_____________________</w:t>
      </w:r>
      <w:r>
        <w:rPr>
          <w:i/>
          <w:sz w:val="16"/>
        </w:rPr>
        <w:tab/>
        <w:tab/>
        <w:tab/>
        <w:tab/>
        <w:tab/>
      </w:r>
    </w:p>
    <w:p>
      <w:pPr>
        <w:pStyle w:val="Normal"/>
        <w:rPr>
          <w:i/>
          <w:i/>
          <w:sz w:val="16"/>
        </w:rPr>
      </w:pPr>
      <w:r>
        <w:rPr>
          <w:i/>
          <w:sz w:val="16"/>
        </w:rPr>
      </w:r>
    </w:p>
    <w:p>
      <w:pPr>
        <w:pStyle w:val="Heading1"/>
        <w:ind w:hanging="0" w:start="0"/>
        <w:rPr/>
      </w:pPr>
      <w:r>
        <w:rPr/>
        <w:t>By: __________________________</w:t>
        <w:tab/>
        <w:tab/>
        <w:t>By: __________________________</w:t>
      </w:r>
    </w:p>
    <w:p>
      <w:pPr>
        <w:pStyle w:val="Normal"/>
        <w:rPr>
          <w:sz w:val="24"/>
        </w:rPr>
      </w:pPr>
      <w:r>
        <w:rPr>
          <w:sz w:val="24"/>
        </w:rPr>
      </w:r>
    </w:p>
    <w:p>
      <w:pPr>
        <w:pStyle w:val="Normal"/>
        <w:rPr>
          <w:sz w:val="24"/>
        </w:rPr>
      </w:pPr>
      <w:r>
        <w:rPr>
          <w:sz w:val="24"/>
        </w:rPr>
        <w:t>Name:   Jon H. Skoog____________</w:t>
        <w:tab/>
        <w:tab/>
        <w:t>Name:  _______________________</w:t>
      </w:r>
    </w:p>
    <w:p>
      <w:pPr>
        <w:pStyle w:val="Normal"/>
        <w:rPr>
          <w:sz w:val="24"/>
        </w:rPr>
      </w:pPr>
      <w:r>
        <w:rPr>
          <w:sz w:val="24"/>
        </w:rPr>
      </w:r>
    </w:p>
    <w:p>
      <w:pPr>
        <w:pStyle w:val="Normal"/>
        <w:rPr>
          <w:sz w:val="24"/>
        </w:rPr>
      </w:pPr>
      <w:r>
        <w:rPr>
          <w:sz w:val="24"/>
        </w:rPr>
        <w:t>Title:  General Manager &amp; Director</w:t>
        <w:tab/>
        <w:tab/>
        <w:t>Title: _________________________</w:t>
      </w:r>
    </w:p>
    <w:p>
      <w:pPr>
        <w:pStyle w:val="Normal"/>
        <w:rPr>
          <w:b/>
          <w:sz w:val="24"/>
        </w:rPr>
      </w:pPr>
      <w:r>
        <w:rPr>
          <w:b/>
          <w:sz w:val="24"/>
        </w:rPr>
      </w:r>
    </w:p>
    <w:sectPr>
      <w:footnotePr>
        <w:numFmt w:val="decimal"/>
      </w:footnotePr>
      <w:type w:val="nextPage"/>
      <w:pgSz w:w="12240" w:h="15840"/>
      <w:pgMar w:left="1440" w:right="1440" w:gutter="0" w:header="0" w:top="1080" w:footer="0"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120" w:after="0"/>
        <w:ind w:hanging="720" w:start="720" w:end="0"/>
        <w:rPr/>
      </w:pPr>
      <w:r>
        <w:rPr>
          <w:rStyle w:val="FootnoteCharacters"/>
        </w:rPr>
        <w:footnoteRef/>
      </w:r>
      <w:r>
        <w:rPr/>
        <w:t xml:space="preserve"> </w:t>
      </w:r>
      <w:r>
        <w:rPr/>
        <w:tab/>
        <w:t>The following additional provision should be added to this Addendum when the Counterparty is not a U.S. person or entity:</w:t>
      </w:r>
    </w:p>
    <w:p>
      <w:pPr>
        <w:pStyle w:val="FootnoteText"/>
        <w:rPr/>
      </w:pPr>
      <w:r>
        <w:rPr/>
      </w:r>
    </w:p>
    <w:p>
      <w:pPr>
        <w:pStyle w:val="Normal"/>
        <w:rPr/>
      </w:pPr>
      <w:r>
        <w:rPr/>
        <w:tab/>
      </w:r>
    </w:p>
    <w:p>
      <w:pPr>
        <w:pStyle w:val="FootnoteText"/>
        <w:rPr/>
      </w:pPr>
      <w:r>
        <w:rPr/>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sz w:val="24"/>
    </w:rPr>
  </w:style>
  <w:style w:type="character" w:styleId="WW8Num1z0">
    <w:name w:val="WW8Num1z0"/>
    <w:qFormat/>
    <w:rPr>
      <w:rFonts w:ascii="Times New Roman" w:hAnsi="Times New Roman" w:cs="Times New Roman"/>
      <w:b w:val="false"/>
      <w:i w:val="false"/>
      <w:sz w:val="24"/>
      <w:u w:val="none"/>
    </w:rPr>
  </w:style>
  <w:style w:type="character" w:styleId="WW8NumSt2z0">
    <w:name w:val="WW8NumSt2z0"/>
    <w:qFormat/>
    <w:rPr>
      <w:rFonts w:ascii="Times New Roman" w:hAnsi="Times New Roman" w:cs="Times New Roman"/>
      <w:b w:val="false"/>
      <w:i w:val="false"/>
      <w:sz w:val="24"/>
      <w:u w:val="non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4"/>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before="120" w:after="0"/>
      <w:ind w:hanging="720" w:start="720" w:end="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notes" Target="footnote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1999-07-21T18:19:00Z</dcterms:created>
  <dc:creator>Staff of ERI</dc:creator>
  <dc:description/>
  <dc:language>en-CA</dc:language>
  <cp:lastModifiedBy>Lachon R. Ellman</cp:lastModifiedBy>
  <cp:lastPrinted>2000-12-01T14:25:00Z</cp:lastPrinted>
  <dcterms:modified xsi:type="dcterms:W3CDTF">2001-06-06T17:30:00Z</dcterms:modified>
  <cp:revision>12</cp:revision>
  <dc:subject/>
  <dc:title>SPECIAL PROVISIONS</dc:title>
</cp:coreProperties>
</file>