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REVISED SCHEDULE</w:t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  <w:t>SEPTEMBER 11</w:t>
      </w:r>
    </w:p>
    <w:p>
      <w:pPr>
        <w:pStyle w:val="Heading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8.30AM- 10.15am- Utilizing Monte Carlo and Power Systems Simulation for Effective Pricing. Peter Nance, Teknecon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10.15am-10.45am- Break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10.40am-12.00pm- Valuing Generation Assets-Practical Application of Real Option Theory. Peter Nance, Teknecon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12.00pm-1.00pm- Lunch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1.00pm-2.15pm- Practical Techniques to Price Exotic Energy Options. Vince Kaminski, Enron North America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2.15pm-3.15- Analyzing Approaches to Weather Derivatives Valuation. Vince Kaminski, Enron North America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3.15pm-3.45pm- Break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3.45pm-6.00pm- Assessing the Applicability of Financial Models to the Pricing of Energy Derivatives. Stinson Gibner, Enron North America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i/>
          <w:i/>
          <w:u w:val="none"/>
        </w:rPr>
      </w:pPr>
      <w:r>
        <w:rPr>
          <w:rFonts w:cs="Arial" w:ascii="Arial" w:hAnsi="Arial"/>
          <w:i/>
          <w:u w:val="none"/>
        </w:rPr>
        <w:t>End of Day One</w:t>
      </w:r>
    </w:p>
    <w:p>
      <w:pPr>
        <w:pStyle w:val="Heading"/>
        <w:rPr>
          <w:rFonts w:ascii="Arial" w:hAnsi="Arial" w:cs="Arial"/>
          <w:i/>
          <w:i/>
          <w:u w:val="none"/>
        </w:rPr>
      </w:pPr>
      <w:r>
        <w:rPr>
          <w:rFonts w:cs="Arial" w:ascii="Arial" w:hAnsi="Arial"/>
          <w:i/>
          <w:u w:val="none"/>
        </w:rPr>
      </w:r>
    </w:p>
    <w:p>
      <w:pPr>
        <w:pStyle w:val="Heading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  <w:t>SEPTEMBER 12</w:t>
      </w:r>
    </w:p>
    <w:p>
      <w:pPr>
        <w:pStyle w:val="Heading"/>
        <w:rPr>
          <w:rFonts w:ascii="Arial" w:hAnsi="Arial" w:cs="Arial"/>
          <w:b/>
          <w:u w:val="none"/>
        </w:rPr>
      </w:pPr>
      <w:r>
        <w:rPr>
          <w:rFonts w:cs="Arial" w:ascii="Arial" w:hAnsi="Arial"/>
          <w:b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8.30am- 1.00pm- Understanding Stochastic Processes and their Applicability to the Energy Industry. Duane Seppi, Carnegie Mellon University (include a thirty minute break)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1.00pm-2.00pm- Lunch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2.00pm-3.00pm Building the Electricity Forward Curve. Ehud Ronn, University of Texas at Austin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3.00pm-4.00pm- Modelling Volatility for Efficient Pricing. Duane Seppi, Carnegie Mellon University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4.00pm-4.15pm Break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4.15pm-Applying Value-at-Risk to the Energy Industry. Ehud Ronn, University of Texas at Austin</w:t>
      </w:r>
    </w:p>
    <w:p>
      <w:pPr>
        <w:pStyle w:val="Heading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Heading"/>
        <w:rPr>
          <w:rFonts w:ascii="Arial" w:hAnsi="Arial" w:cs="Arial"/>
          <w:i/>
          <w:i/>
          <w:u w:val="none"/>
        </w:rPr>
      </w:pPr>
      <w:r>
        <w:rPr>
          <w:rFonts w:cs="Arial" w:ascii="Arial" w:hAnsi="Arial"/>
          <w:i/>
          <w:u w:val="none"/>
        </w:rPr>
        <w:t>End of Day Two</w:t>
      </w:r>
    </w:p>
    <w:p>
      <w:pPr>
        <w:pStyle w:val="Heading"/>
        <w:rPr>
          <w:rFonts w:ascii="Arial" w:hAnsi="Arial" w:cs="Arial"/>
          <w:i/>
          <w:i/>
          <w:u w:val="none"/>
        </w:rPr>
      </w:pPr>
      <w:r>
        <w:rPr>
          <w:rFonts w:cs="Arial" w:ascii="Arial" w:hAnsi="Arial"/>
          <w:i/>
          <w:u w:val="none"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  <w:lang w:val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2000-08-23T06:29:00Z</dcterms:created>
  <dc:creator>Sumit Paul-Choudhury</dc:creator>
  <dc:description/>
  <dc:language>en-CA</dc:language>
  <cp:lastModifiedBy>Sumit Paul-Choudhury</cp:lastModifiedBy>
  <dcterms:modified xsi:type="dcterms:W3CDTF">2000-09-05T07:06:00Z</dcterms:modified>
  <cp:revision>5</cp:revision>
  <dc:subject/>
  <dc:title>SPEAKER TIME SLOT CHANGE</dc:title>
</cp:coreProperties>
</file>