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Center"/>
        <w:widowControl/>
        <w:spacing w:before="240" w:after="0"/>
        <w:rPr/>
      </w:pPr>
      <w:r>
        <w:rPr>
          <w:b/>
          <w:bCs/>
          <w:smallCaps/>
          <w:sz w:val="24"/>
          <w:u w:val="single"/>
        </w:rPr>
        <w:t>Schedule</w:t>
      </w:r>
      <w:r>
        <w:rPr>
          <w:b/>
          <w:bCs/>
          <w:caps/>
          <w:sz w:val="24"/>
          <w:u w:val="single"/>
        </w:rPr>
        <w:t xml:space="preserve"> 2</w:t>
      </w:r>
    </w:p>
    <w:p>
      <w:pPr>
        <w:pStyle w:val="SingleCenter"/>
        <w:widowControl/>
        <w:rPr>
          <w:b/>
          <w:bCs/>
          <w:smallCaps/>
          <w:sz w:val="24"/>
          <w:u w:val="single"/>
        </w:rPr>
      </w:pPr>
      <w:r>
        <w:rPr>
          <w:b/>
          <w:bCs/>
          <w:smallCaps/>
          <w:sz w:val="24"/>
          <w:u w:val="single"/>
        </w:rPr>
        <w:t>Edison Mission Energy Disclosure Schedule</w:t>
      </w:r>
    </w:p>
    <w:p>
      <w:pPr>
        <w:pStyle w:val="SingleCenter"/>
        <w:widowControl/>
        <w:ind w:firstLine="720" w:end="0"/>
        <w:jc w:val="start"/>
        <w:rPr/>
      </w:pPr>
      <w:r>
        <w:rPr>
          <w:sz w:val="24"/>
        </w:rPr>
        <w:t>Pursuant to Article 2 of the Stock Purchase Agreement entered into as of _______, 2001 (the "</w:t>
      </w:r>
      <w:r>
        <w:rPr>
          <w:b/>
          <w:bCs/>
          <w:sz w:val="24"/>
        </w:rPr>
        <w:t>Agreement</w:t>
      </w:r>
      <w:r>
        <w:rPr>
          <w:sz w:val="24"/>
        </w:rPr>
        <w:t>"), by and between Edison Mission Energy, a California corporation ("</w:t>
      </w:r>
      <w:r>
        <w:rPr>
          <w:b/>
          <w:bCs/>
          <w:sz w:val="24"/>
        </w:rPr>
        <w:t>Seller</w:t>
      </w:r>
      <w:r>
        <w:rPr>
          <w:sz w:val="24"/>
        </w:rPr>
        <w:t>") and Enron North America Corp., a Delaware corporation ("</w:t>
      </w:r>
      <w:r>
        <w:rPr>
          <w:b/>
          <w:bCs/>
          <w:sz w:val="24"/>
        </w:rPr>
        <w:t>Buyer</w:t>
      </w:r>
      <w:r>
        <w:rPr>
          <w:sz w:val="24"/>
        </w:rPr>
        <w:t>"), Seller hereby delivers this disclosure schedule (the "</w:t>
      </w:r>
      <w:r>
        <w:rPr>
          <w:b/>
          <w:bCs/>
          <w:sz w:val="24"/>
        </w:rPr>
        <w:t>Disclosure Schedule</w:t>
      </w:r>
      <w:r>
        <w:rPr>
          <w:sz w:val="24"/>
        </w:rPr>
        <w:t xml:space="preserve">") to Buyer.  The disclosures in this Disclosure Schedule constitute exceptions to the representations and warranties made by Seller in Article 2 of the Agreement, or constitute disclosure otherwise required by other Sections of the Agreement.  All capitalized terms used herein and not otherwise defined shall have the meanings ascribed to them in the Agreement.  The numbered Schedules contained in this Disclosure Schedule correspond to the Section numbers in the Agreement; </w:t>
      </w:r>
      <w:r>
        <w:rPr>
          <w:sz w:val="24"/>
          <w:u w:val="single"/>
        </w:rPr>
        <w:t>provided</w:t>
      </w:r>
      <w:r>
        <w:rPr>
          <w:sz w:val="24"/>
        </w:rPr>
        <w:t xml:space="preserve">, </w:t>
      </w:r>
      <w:r>
        <w:rPr>
          <w:sz w:val="24"/>
          <w:u w:val="single"/>
        </w:rPr>
        <w:t>however</w:t>
      </w:r>
      <w:r>
        <w:rPr>
          <w:sz w:val="24"/>
        </w:rPr>
        <w:t xml:space="preserve">, that any item disclosed in any particular Schedule contained in this Disclosure Schedule shall constitute an exception to all other representations or warranties made in the Agreement to which such item </w:t>
      </w:r>
      <w:r>
        <w:rPr>
          <w:sz w:val="24"/>
          <w:u w:val="double"/>
        </w:rPr>
        <w:t>directly</w:t>
      </w:r>
      <w:r>
        <w:rPr>
          <w:sz w:val="24"/>
        </w:rPr>
        <w:t xml:space="preserve"> applies.</w:t>
      </w:r>
      <w:r>
        <w:br w:type="page"/>
      </w:r>
    </w:p>
    <w:p>
      <w:pPr>
        <w:pStyle w:val="SingleBlock"/>
        <w:widowControl/>
        <w:jc w:val="center"/>
        <w:rPr/>
      </w:pPr>
      <w:r>
        <w:rPr>
          <w:b/>
          <w:bCs/>
          <w:smallCaps/>
          <w:sz w:val="24"/>
        </w:rPr>
        <w:t>Schedule 2.3</w:t>
      </w:r>
      <w:r>
        <w:rPr>
          <w:b/>
          <w:bCs/>
          <w:sz w:val="24"/>
        </w:rPr>
        <w:t xml:space="preserve"> </w:t>
        <w:br/>
        <w:br/>
        <w:t>Ownership of Capital Stock and Partnership Interests</w:t>
      </w:r>
    </w:p>
    <w:p>
      <w:pPr>
        <w:pStyle w:val="SingleBlock"/>
        <w:widowControl/>
        <w:ind w:hanging="720" w:start="720" w:end="0"/>
        <w:rPr>
          <w:sz w:val="24"/>
        </w:rPr>
      </w:pPr>
      <w:r>
        <w:rPr>
          <w:sz w:val="24"/>
        </w:rPr>
        <w:t>1.</w:t>
        <w:tab/>
      </w:r>
      <w:r>
        <w:rPr>
          <w:i/>
          <w:iCs/>
          <w:sz w:val="24"/>
        </w:rPr>
        <w:t xml:space="preserve"> </w:t>
      </w:r>
      <w:r>
        <w:rPr>
          <w:sz w:val="24"/>
        </w:rPr>
        <w:t xml:space="preserve"> Pursuant to Section 8.4 of the Amended and Restated Limited Partnership Agreement, dated November 1, 1997, between MENY and York, a general partner attempting to make a transfer must give the other general partner notice of such transfer and the non-transferring general partner has an option for 30 days to purchase the transferring general partner's interest.  (Although Section 8.4 is not triggered by the transaction contemplated by the Agreement, the language of Section 2.3 requires disclosure of any restrictions on MENY's Partnership </w:t>
      </w:r>
      <w:r>
        <w:rPr>
          <w:strike/>
          <w:sz w:val="24"/>
        </w:rPr>
        <w:t>Interests)</w:t>
      </w:r>
      <w:r>
        <w:rPr>
          <w:sz w:val="24"/>
        </w:rPr>
        <w:t xml:space="preserve"> </w:t>
      </w:r>
      <w:r>
        <w:rPr>
          <w:sz w:val="24"/>
          <w:u w:val="double"/>
        </w:rPr>
        <w:t>Interests.)</w:t>
      </w:r>
      <w:r>
        <w:br w:type="page"/>
      </w:r>
    </w:p>
    <w:p>
      <w:pPr>
        <w:pStyle w:val="SingleBlock"/>
        <w:widowControl/>
        <w:jc w:val="center"/>
        <w:rPr/>
      </w:pPr>
      <w:r>
        <w:rPr>
          <w:b/>
          <w:bCs/>
          <w:smallCaps/>
          <w:sz w:val="24"/>
        </w:rPr>
        <w:t>Schedule 2.5</w:t>
      </w:r>
      <w:r>
        <w:rPr>
          <w:b/>
          <w:bCs/>
          <w:sz w:val="24"/>
        </w:rPr>
        <w:t xml:space="preserve"> </w:t>
        <w:br/>
        <w:br/>
        <w:t>Assets and Permits</w:t>
      </w:r>
    </w:p>
    <w:p>
      <w:pPr>
        <w:pStyle w:val="SingleBlock"/>
        <w:widowControl/>
        <w:ind w:hanging="720" w:start="720" w:end="0"/>
        <w:rPr/>
      </w:pPr>
      <w:r>
        <w:rPr>
          <w:sz w:val="24"/>
        </w:rPr>
        <w:t>1.</w:t>
        <w:tab/>
        <w:t>Pursuant to that certain Indemnity Agreement dated as of December 1, 1997 by and among Seller, the Partnership and B-41 Associates, L.P. ("</w:t>
      </w:r>
      <w:r>
        <w:rPr>
          <w:b/>
          <w:bCs/>
          <w:sz w:val="24"/>
        </w:rPr>
        <w:t>B-41</w:t>
      </w:r>
      <w:r>
        <w:rPr>
          <w:sz w:val="24"/>
        </w:rPr>
        <w:t xml:space="preserve">"), Seller has agreed to indemnify the Partnership and B-41 with respect to the litigation described in Section 1(C) of </w:t>
      </w:r>
      <w:r>
        <w:rPr>
          <w:sz w:val="24"/>
          <w:u w:val="single"/>
        </w:rPr>
        <w:t>Schedule 2.9</w:t>
      </w:r>
      <w:r>
        <w:rPr>
          <w:sz w:val="24"/>
        </w:rPr>
        <w:t>.</w:t>
      </w:r>
    </w:p>
    <w:p>
      <w:pPr>
        <w:pStyle w:val="SingleBlock"/>
        <w:widowControl/>
        <w:ind w:hanging="720" w:start="720" w:end="0"/>
        <w:rPr/>
      </w:pPr>
      <w:r>
        <w:rPr>
          <w:sz w:val="24"/>
        </w:rPr>
        <w:t>2.</w:t>
        <w:tab/>
        <w:t xml:space="preserve">Pursuant to that certain York Partners Reimbursement Agreement dated as of November 1, 1997 by and among B-41, Seller and the Partnership, B-41 has agreed to reimburse Seller with respect to a certain portion of Seller's indemnification obligations described in Section 1 of this </w:t>
      </w:r>
      <w:r>
        <w:rPr>
          <w:sz w:val="24"/>
          <w:u w:val="single"/>
        </w:rPr>
        <w:t>Schedule 2.5</w:t>
      </w:r>
      <w:r>
        <w:rPr>
          <w:sz w:val="24"/>
        </w:rPr>
        <w:t>.</w:t>
      </w:r>
    </w:p>
    <w:p>
      <w:pPr>
        <w:pStyle w:val="SingleBlock"/>
        <w:widowControl/>
        <w:ind w:hanging="720" w:start="720" w:end="0"/>
        <w:rPr/>
      </w:pPr>
      <w:r>
        <w:rPr>
          <w:sz w:val="24"/>
        </w:rPr>
        <w:t>3.</w:t>
        <w:tab/>
        <w:t xml:space="preserve">Pursuant to Section 3.5 of the Amended and Restated Lease Agreement, dated December 1, 1997, between New York City Industrial Development Agency and the Partnership, the Partnership has granted a security interest in substantially all of the Partnership's outstanding right, title, if any, and interest in and to the Shared Collateral, the Facility Equipment and the Project Contracts (other than the Unassigned Project Contracts) and the proceeds thereof.  Capitalized terms used in this Section 3 of this  </w:t>
      </w:r>
      <w:r>
        <w:rPr>
          <w:sz w:val="24"/>
          <w:u w:val="single"/>
        </w:rPr>
        <w:t>Schedule 2.5</w:t>
      </w:r>
      <w:r>
        <w:rPr>
          <w:sz w:val="24"/>
        </w:rPr>
        <w:t xml:space="preserve"> shall have the meanings ascribed to them in the Amended and Restated Lease Agreement and Appendix A thereto. </w:t>
      </w:r>
    </w:p>
    <w:p>
      <w:pPr>
        <w:pStyle w:val="SingleBlock"/>
        <w:widowControl/>
        <w:ind w:hanging="720" w:start="720" w:end="0"/>
        <w:rPr/>
      </w:pPr>
      <w:r>
        <w:rPr>
          <w:sz w:val="24"/>
        </w:rPr>
        <w:t>4.</w:t>
        <w:tab/>
        <w:t xml:space="preserve">Pursuant to Section 2.9 of the Reimbursement Agreement, dated December 1, 1997, between the Partnership and Bank of Montreal, as Agent, the Partnership's Obligations are secured by Liens granted by the Security Documents.  Capitalized terms used in this Section 4 of this </w:t>
      </w:r>
      <w:r>
        <w:rPr>
          <w:sz w:val="24"/>
          <w:u w:val="single"/>
        </w:rPr>
        <w:t>Schedule 2.5</w:t>
      </w:r>
      <w:r>
        <w:rPr>
          <w:sz w:val="24"/>
        </w:rPr>
        <w:t xml:space="preserve"> shall have the meanings ascribed to them in the Reimbursement Agreement.  </w:t>
      </w:r>
    </w:p>
    <w:p>
      <w:pPr>
        <w:pStyle w:val="SingleBlock"/>
        <w:widowControl/>
        <w:ind w:hanging="720" w:start="720" w:end="0"/>
        <w:rPr>
          <w:sz w:val="24"/>
        </w:rPr>
      </w:pPr>
      <w:r>
        <w:rPr>
          <w:sz w:val="24"/>
        </w:rPr>
        <w:t>5.</w:t>
        <w:tab/>
        <w:t>Pursuant to Section 2.1 of the Guarantee, dated December 1, 1995, made by Seller in favor of the Administrative Agent, Seller guarantees payment to the Administrative Agent on behalf of the Issuing Bank and the Lenders.  Capitalized terms used in this Section 5 of Schedule 2.5 shall have the meaning ascribed to them in that certain Reimbursement Agreement dated as of even date therewith.</w:t>
      </w:r>
    </w:p>
    <w:p>
      <w:pPr>
        <w:pStyle w:val="SingleBlock"/>
        <w:widowControl/>
        <w:ind w:hanging="720" w:start="720" w:end="0"/>
        <w:rPr>
          <w:sz w:val="24"/>
        </w:rPr>
      </w:pPr>
      <w:r>
        <w:rPr>
          <w:sz w:val="24"/>
          <w:u w:val="double"/>
        </w:rPr>
        <w:t>6.</w:t>
      </w:r>
      <w:r>
        <w:rPr>
          <w:sz w:val="24"/>
        </w:rPr>
        <w:tab/>
      </w:r>
      <w:r>
        <w:rPr>
          <w:sz w:val="24"/>
          <w:u w:val="double"/>
        </w:rPr>
        <w:t>Pursuant to Section 8.4 of the Amended and Restated Limited Partnership Agreement, dated November 1, 1997, between MENY and York, a general partner attempting to make a transfer must give the other general partner notice of such transfer and the non-transferring general partner has an option for 30 days to purchase the transferring general partner's interest.  (Although Section 8.4 is not triggered by the transaction contemplated by the Agreement, the language of Section 2.5 requires disclosure of any restrictions on MENY's Partnership Interests.)</w:t>
      </w:r>
    </w:p>
    <w:p>
      <w:pPr>
        <w:pStyle w:val="SingleBlock"/>
        <w:widowControl/>
        <w:rPr/>
      </w:pPr>
      <w:r>
        <w:rPr>
          <w:b/>
          <w:bCs/>
          <w:sz w:val="24"/>
          <w:u w:val="single"/>
        </w:rPr>
        <w:t xml:space="preserve">All property owned or leased by </w:t>
      </w:r>
      <w:r>
        <w:rPr>
          <w:b/>
          <w:bCs/>
          <w:strike/>
          <w:sz w:val="24"/>
          <w:u w:val="single"/>
        </w:rPr>
        <w:t>BNYCP</w:t>
      </w:r>
      <w:r>
        <w:rPr>
          <w:b/>
          <w:bCs/>
          <w:sz w:val="24"/>
          <w:u w:val="single"/>
        </w:rPr>
        <w:t xml:space="preserve"> </w:t>
      </w:r>
      <w:r>
        <w:rPr>
          <w:b/>
          <w:bCs/>
          <w:sz w:val="24"/>
          <w:u w:val="double"/>
        </w:rPr>
        <w:t>the Partnership</w:t>
      </w:r>
      <w:r>
        <w:rPr>
          <w:b/>
          <w:bCs/>
          <w:sz w:val="24"/>
          <w:u w:val="single"/>
        </w:rPr>
        <w:t xml:space="preserve"> or MENY are evidenced by the following documents</w:t>
      </w:r>
      <w:r>
        <w:rPr>
          <w:b/>
          <w:bCs/>
          <w:sz w:val="24"/>
        </w:rPr>
        <w:t>:</w:t>
      </w:r>
    </w:p>
    <w:p>
      <w:pPr>
        <w:pStyle w:val="SingleBlock"/>
        <w:widowControl/>
        <w:ind w:hanging="720" w:start="720" w:end="0"/>
        <w:rPr/>
      </w:pPr>
      <w:r>
        <w:rPr>
          <w:sz w:val="24"/>
        </w:rPr>
        <w:t>1.</w:t>
        <w:tab/>
        <w:t xml:space="preserve">Lease Agreement executed as of December 18, 1989, as amended by instruments dated as of November 1, 1991, June 3, 1994, December 12, 1994, March 31, 1995 (effective as of April 15, 1995), June 28, 1995, December 13, 1995, March 12, 1996 and June 17, 1997, between </w:t>
      </w:r>
      <w:r>
        <w:rPr>
          <w:strike/>
          <w:sz w:val="24"/>
        </w:rPr>
        <w:t>BNYCP</w:t>
      </w:r>
      <w:r>
        <w:rPr>
          <w:sz w:val="24"/>
        </w:rPr>
        <w:t xml:space="preserve"> </w:t>
      </w:r>
      <w:r>
        <w:rPr>
          <w:sz w:val="24"/>
          <w:u w:val="double"/>
        </w:rPr>
        <w:t>the Partnership</w:t>
      </w:r>
      <w:r>
        <w:rPr>
          <w:sz w:val="24"/>
        </w:rPr>
        <w:t xml:space="preserve"> and BNYDC (as defined in Section 1(B) </w:t>
      </w:r>
      <w:r>
        <w:rPr>
          <w:strike/>
          <w:sz w:val="24"/>
        </w:rPr>
        <w:t>to</w:t>
      </w:r>
      <w:r>
        <w:rPr>
          <w:sz w:val="24"/>
        </w:rPr>
        <w:t xml:space="preserve"> </w:t>
      </w:r>
      <w:r>
        <w:rPr>
          <w:sz w:val="24"/>
          <w:u w:val="double"/>
        </w:rPr>
        <w:t>of</w:t>
      </w:r>
      <w:r>
        <w:rPr>
          <w:sz w:val="24"/>
        </w:rPr>
        <w:t xml:space="preserve"> </w:t>
      </w:r>
      <w:r>
        <w:rPr>
          <w:sz w:val="24"/>
          <w:u w:val="single"/>
        </w:rPr>
        <w:t>Schedule 2.9</w:t>
      </w:r>
      <w:r>
        <w:rPr>
          <w:sz w:val="24"/>
        </w:rPr>
        <w:t>).</w:t>
      </w:r>
    </w:p>
    <w:p>
      <w:pPr>
        <w:pStyle w:val="SingleBlock"/>
        <w:widowControl/>
        <w:ind w:hanging="720" w:start="720" w:end="0"/>
        <w:rPr/>
      </w:pPr>
      <w:r>
        <w:rPr>
          <w:sz w:val="24"/>
        </w:rPr>
        <w:t>2.</w:t>
        <w:tab/>
        <w:t xml:space="preserve">Lease Agreement, dated December 19, 1995, between </w:t>
      </w:r>
      <w:r>
        <w:rPr>
          <w:strike/>
          <w:sz w:val="24"/>
        </w:rPr>
        <w:t>BNYCP</w:t>
      </w:r>
      <w:r>
        <w:rPr>
          <w:sz w:val="24"/>
        </w:rPr>
        <w:t xml:space="preserve"> </w:t>
      </w:r>
      <w:r>
        <w:rPr>
          <w:sz w:val="24"/>
          <w:u w:val="double"/>
        </w:rPr>
        <w:t>the Partnership</w:t>
      </w:r>
      <w:r>
        <w:rPr>
          <w:sz w:val="24"/>
        </w:rPr>
        <w:t xml:space="preserve"> and New York City Industrial Agency.</w:t>
      </w:r>
    </w:p>
    <w:p>
      <w:pPr>
        <w:pStyle w:val="SingleBlock"/>
        <w:widowControl/>
        <w:ind w:hanging="720" w:start="720" w:end="0"/>
        <w:rPr/>
      </w:pPr>
      <w:r>
        <w:rPr>
          <w:sz w:val="24"/>
        </w:rPr>
        <w:t>3.</w:t>
        <w:tab/>
        <w:t xml:space="preserve">Amended and Restated Company Lease Agreement, dated December 1, 1997, between </w:t>
      </w:r>
      <w:r>
        <w:rPr>
          <w:strike/>
          <w:sz w:val="24"/>
        </w:rPr>
        <w:t>BNYCP</w:t>
      </w:r>
      <w:r>
        <w:rPr>
          <w:sz w:val="24"/>
        </w:rPr>
        <w:t xml:space="preserve"> </w:t>
      </w:r>
      <w:r>
        <w:rPr>
          <w:sz w:val="24"/>
          <w:u w:val="double"/>
        </w:rPr>
        <w:t>the Partnership</w:t>
      </w:r>
      <w:r>
        <w:rPr>
          <w:sz w:val="24"/>
        </w:rPr>
        <w:t xml:space="preserve"> and New York City Industrial Agency.</w:t>
      </w:r>
    </w:p>
    <w:p>
      <w:pPr>
        <w:pStyle w:val="SingleBlock"/>
        <w:widowControl/>
        <w:ind w:hanging="720" w:start="720" w:end="0"/>
        <w:rPr/>
      </w:pPr>
      <w:r>
        <w:rPr>
          <w:sz w:val="24"/>
        </w:rPr>
        <w:t>4.</w:t>
        <w:tab/>
      </w:r>
      <w:r>
        <w:rPr>
          <w:sz w:val="24"/>
          <w:u w:val="double"/>
        </w:rPr>
        <w:t>[</w:t>
      </w:r>
      <w:r>
        <w:rPr>
          <w:sz w:val="24"/>
        </w:rPr>
        <w:t xml:space="preserve">Time Charter Party Agreement, dated October 11, 1996, as amended on October 2, 1997, between </w:t>
      </w:r>
      <w:r>
        <w:rPr>
          <w:strike/>
          <w:sz w:val="24"/>
        </w:rPr>
        <w:t>BNYCP</w:t>
      </w:r>
      <w:r>
        <w:rPr>
          <w:sz w:val="24"/>
        </w:rPr>
        <w:t xml:space="preserve"> </w:t>
      </w:r>
      <w:r>
        <w:rPr>
          <w:sz w:val="24"/>
          <w:u w:val="double"/>
        </w:rPr>
        <w:t>the Partnership</w:t>
      </w:r>
      <w:r>
        <w:rPr>
          <w:sz w:val="24"/>
        </w:rPr>
        <w:t xml:space="preserve"> and Eklof Marine Corporation (barge owner).</w:t>
      </w:r>
      <w:r>
        <w:rPr>
          <w:strike/>
          <w:sz w:val="24"/>
        </w:rPr>
        <w:t>[This Agreement would have terminated on May 2001 if not renewed].</w:t>
      </w:r>
      <w:r>
        <w:rPr>
          <w:sz w:val="24"/>
          <w:u w:val="double"/>
        </w:rPr>
        <w:t xml:space="preserve">]  </w:t>
      </w:r>
    </w:p>
    <w:p>
      <w:pPr>
        <w:pStyle w:val="SingleBlock"/>
        <w:widowControl/>
        <w:rPr>
          <w:b/>
          <w:bCs/>
          <w:sz w:val="24"/>
          <w:u w:val="double"/>
        </w:rPr>
      </w:pPr>
      <w:r>
        <w:rPr>
          <w:b/>
          <w:bCs/>
          <w:sz w:val="24"/>
          <w:u w:val="double"/>
        </w:rPr>
        <w:t>Information regarding MENY's bank account and the authorized signatories thereto is as follows:</w:t>
      </w:r>
    </w:p>
    <w:p>
      <w:pPr>
        <w:pStyle w:val="Normal"/>
        <w:widowControl/>
        <w:rPr>
          <w:b/>
          <w:bCs/>
          <w:color w:val="0000FF"/>
          <w:sz w:val="24"/>
          <w:szCs w:val="28"/>
          <w:u w:val="double"/>
        </w:rPr>
      </w:pPr>
      <w:r>
        <w:rPr>
          <w:b/>
          <w:bCs/>
          <w:color w:val="0000FF"/>
          <w:sz w:val="24"/>
          <w:szCs w:val="28"/>
          <w:u w:val="double"/>
        </w:rPr>
      </w:r>
    </w:p>
    <w:p>
      <w:pPr>
        <w:pStyle w:val="Normal"/>
        <w:widowControl/>
        <w:rPr>
          <w:color w:val="0000FF"/>
          <w:sz w:val="24"/>
          <w:u w:val="double"/>
        </w:rPr>
      </w:pPr>
      <w:r>
        <w:rPr>
          <w:color w:val="0000FF"/>
          <w:sz w:val="24"/>
          <w:u w:val="double"/>
        </w:rPr>
        <w:t xml:space="preserve">United States Trust Company of New York </w:t>
      </w:r>
    </w:p>
    <w:p>
      <w:pPr>
        <w:pStyle w:val="Normal"/>
        <w:widowControl/>
        <w:rPr>
          <w:color w:val="0000FF"/>
          <w:sz w:val="24"/>
          <w:u w:val="double"/>
        </w:rPr>
      </w:pPr>
      <w:r>
        <w:rPr>
          <w:color w:val="0000FF"/>
          <w:sz w:val="24"/>
          <w:u w:val="double"/>
        </w:rPr>
        <w:t xml:space="preserve">114 West 47th Street, 25th Floor </w:t>
      </w:r>
    </w:p>
    <w:p>
      <w:pPr>
        <w:pStyle w:val="Normal"/>
        <w:widowControl/>
        <w:rPr>
          <w:color w:val="0000FF"/>
          <w:sz w:val="24"/>
          <w:u w:val="double"/>
        </w:rPr>
      </w:pPr>
      <w:r>
        <w:rPr>
          <w:color w:val="0000FF"/>
          <w:sz w:val="24"/>
          <w:u w:val="double"/>
        </w:rPr>
        <w:t>New York, New York 10036</w:t>
      </w:r>
    </w:p>
    <w:p>
      <w:pPr>
        <w:pStyle w:val="Normal"/>
        <w:widowControl/>
        <w:rPr>
          <w:color w:val="0000FF"/>
          <w:sz w:val="24"/>
          <w:u w:val="double"/>
        </w:rPr>
      </w:pPr>
      <w:r>
        <w:rPr>
          <w:color w:val="0000FF"/>
          <w:sz w:val="24"/>
          <w:u w:val="double"/>
        </w:rPr>
        <w:t xml:space="preserve">Attention: Christopher Grell </w:t>
      </w:r>
    </w:p>
    <w:p>
      <w:pPr>
        <w:pStyle w:val="Normal"/>
        <w:widowControl/>
        <w:rPr>
          <w:color w:val="0000FF"/>
          <w:sz w:val="24"/>
          <w:u w:val="double"/>
        </w:rPr>
      </w:pPr>
      <w:r>
        <w:rPr>
          <w:color w:val="0000FF"/>
          <w:sz w:val="24"/>
          <w:u w:val="double"/>
        </w:rPr>
        <w:t>Phone: 212 852-1034</w:t>
      </w:r>
    </w:p>
    <w:p>
      <w:pPr>
        <w:pStyle w:val="Normal"/>
        <w:widowControl/>
        <w:rPr>
          <w:color w:val="0000FF"/>
          <w:sz w:val="24"/>
          <w:u w:val="double"/>
        </w:rPr>
      </w:pPr>
      <w:r>
        <w:rPr>
          <w:color w:val="0000FF"/>
          <w:sz w:val="24"/>
          <w:u w:val="double"/>
        </w:rPr>
      </w:r>
    </w:p>
    <w:p>
      <w:pPr>
        <w:pStyle w:val="Normal"/>
        <w:widowControl/>
        <w:rPr/>
      </w:pPr>
      <w:r>
        <w:rPr>
          <w:color w:val="0000FF"/>
          <w:sz w:val="24"/>
          <w:u w:val="double"/>
        </w:rPr>
        <w:t xml:space="preserve">Checking Account:  </w:t>
      </w:r>
      <w:r>
        <w:rPr>
          <w:color w:val="0000FF"/>
          <w:sz w:val="24"/>
        </w:rPr>
        <w:tab/>
        <w:tab/>
      </w:r>
      <w:r>
        <w:rPr>
          <w:color w:val="0000FF"/>
          <w:sz w:val="24"/>
          <w:u w:val="double"/>
        </w:rPr>
        <w:t>2123762</w:t>
      </w:r>
    </w:p>
    <w:p>
      <w:pPr>
        <w:pStyle w:val="Normal"/>
        <w:widowControl/>
        <w:rPr>
          <w:color w:val="0000FF"/>
          <w:sz w:val="24"/>
          <w:u w:val="double"/>
        </w:rPr>
      </w:pPr>
      <w:r>
        <w:rPr>
          <w:color w:val="0000FF"/>
          <w:sz w:val="24"/>
          <w:u w:val="double"/>
        </w:rPr>
      </w:r>
    </w:p>
    <w:p>
      <w:pPr>
        <w:pStyle w:val="Normal"/>
        <w:widowControl/>
        <w:rPr/>
      </w:pPr>
      <w:r>
        <w:rPr>
          <w:color w:val="0000FF"/>
          <w:sz w:val="24"/>
          <w:u w:val="double"/>
        </w:rPr>
        <w:t xml:space="preserve">Signatories:  </w:t>
      </w:r>
      <w:r>
        <w:rPr>
          <w:color w:val="0000FF"/>
          <w:sz w:val="24"/>
        </w:rPr>
        <w:tab/>
      </w:r>
      <w:r>
        <w:rPr>
          <w:color w:val="0000FF"/>
          <w:sz w:val="24"/>
          <w:u w:val="double"/>
        </w:rPr>
        <w:t>G. Gary Garcia</w:t>
      </w:r>
    </w:p>
    <w:p>
      <w:pPr>
        <w:pStyle w:val="Normal"/>
        <w:widowControl/>
        <w:rPr/>
      </w:pPr>
      <w:r>
        <w:rPr>
          <w:color w:val="0000FF"/>
          <w:sz w:val="24"/>
        </w:rPr>
        <w:tab/>
        <w:tab/>
      </w:r>
      <w:r>
        <w:rPr>
          <w:color w:val="0000FF"/>
          <w:sz w:val="24"/>
          <w:u w:val="double"/>
        </w:rPr>
        <w:t>Kevin M. Smith</w:t>
      </w:r>
    </w:p>
    <w:p>
      <w:pPr>
        <w:pStyle w:val="Normal"/>
        <w:widowControl/>
        <w:rPr/>
      </w:pPr>
      <w:r>
        <w:rPr>
          <w:color w:val="0000FF"/>
          <w:sz w:val="24"/>
          <w:u w:val="double"/>
        </w:rPr>
        <w:t xml:space="preserve">          </w:t>
      </w:r>
      <w:r>
        <w:rPr>
          <w:color w:val="0000FF"/>
          <w:sz w:val="24"/>
        </w:rPr>
        <w:tab/>
        <w:tab/>
      </w:r>
      <w:r>
        <w:rPr>
          <w:color w:val="0000FF"/>
          <w:sz w:val="24"/>
          <w:u w:val="double"/>
        </w:rPr>
        <w:t>Mark Clarke</w:t>
      </w:r>
    </w:p>
    <w:p>
      <w:pPr>
        <w:pStyle w:val="Normal"/>
        <w:widowControl/>
        <w:rPr/>
      </w:pPr>
      <w:r>
        <w:rPr>
          <w:color w:val="0000FF"/>
          <w:sz w:val="24"/>
          <w:u w:val="double"/>
        </w:rPr>
        <w:t xml:space="preserve">          </w:t>
      </w:r>
      <w:r>
        <w:rPr>
          <w:color w:val="0000FF"/>
          <w:sz w:val="24"/>
        </w:rPr>
        <w:tab/>
        <w:tab/>
      </w:r>
      <w:r>
        <w:rPr>
          <w:color w:val="0000FF"/>
          <w:sz w:val="24"/>
          <w:u w:val="double"/>
        </w:rPr>
        <w:t>Raymond W. Vickers</w:t>
      </w:r>
    </w:p>
    <w:p>
      <w:pPr>
        <w:pStyle w:val="Normal"/>
        <w:widowControl/>
        <w:rPr/>
      </w:pPr>
      <w:r>
        <w:rPr>
          <w:color w:val="0000FF"/>
          <w:sz w:val="24"/>
        </w:rPr>
        <w:tab/>
        <w:tab/>
      </w:r>
      <w:r>
        <w:rPr>
          <w:color w:val="0000FF"/>
          <w:sz w:val="24"/>
          <w:u w:val="double"/>
        </w:rPr>
        <w:t>Alan J. Fohrer</w:t>
      </w:r>
    </w:p>
    <w:p>
      <w:pPr>
        <w:pStyle w:val="Normal"/>
        <w:widowControl/>
        <w:rPr>
          <w:color w:val="0000FF"/>
          <w:sz w:val="24"/>
        </w:rPr>
      </w:pPr>
      <w:r>
        <w:rPr>
          <w:color w:val="0000FF"/>
          <w:sz w:val="24"/>
        </w:rPr>
        <w:tab/>
        <w:tab/>
      </w:r>
      <w:r>
        <w:rPr>
          <w:color w:val="0000FF"/>
          <w:sz w:val="24"/>
          <w:u w:val="double"/>
        </w:rPr>
        <w:t>Kim Kelly-Lippert</w:t>
      </w:r>
    </w:p>
    <w:p>
      <w:pPr>
        <w:pStyle w:val="Normal"/>
        <w:widowControl/>
        <w:rPr>
          <w:color w:val="0000FF"/>
          <w:sz w:val="24"/>
        </w:rPr>
      </w:pPr>
      <w:r>
        <w:rPr>
          <w:color w:val="0000FF"/>
          <w:sz w:val="24"/>
        </w:rPr>
      </w:r>
    </w:p>
    <w:p>
      <w:pPr>
        <w:pStyle w:val="SingleBlock"/>
        <w:widowControl/>
        <w:rPr>
          <w:color w:val="0000FF"/>
          <w:sz w:val="24"/>
        </w:rPr>
      </w:pPr>
      <w:r>
        <w:rPr>
          <w:color w:val="0000FF"/>
          <w:sz w:val="24"/>
        </w:rPr>
      </w:r>
      <w:r>
        <w:br w:type="page"/>
      </w:r>
    </w:p>
    <w:p>
      <w:pPr>
        <w:pStyle w:val="Normal"/>
        <w:widowControl/>
        <w:jc w:val="center"/>
        <w:rPr/>
      </w:pPr>
      <w:r>
        <w:rPr>
          <w:b/>
          <w:bCs/>
          <w:smallCaps/>
          <w:sz w:val="24"/>
        </w:rPr>
        <w:t>Schedule</w:t>
      </w:r>
      <w:r>
        <w:rPr>
          <w:b/>
          <w:bCs/>
          <w:sz w:val="24"/>
        </w:rPr>
        <w:t xml:space="preserve"> 2.6</w:t>
      </w:r>
    </w:p>
    <w:p>
      <w:pPr>
        <w:pStyle w:val="Normal"/>
        <w:widowControl/>
        <w:jc w:val="center"/>
        <w:rPr>
          <w:b/>
          <w:bCs/>
          <w:sz w:val="24"/>
        </w:rPr>
      </w:pPr>
      <w:r>
        <w:rPr>
          <w:b/>
          <w:bCs/>
          <w:sz w:val="24"/>
        </w:rPr>
      </w:r>
    </w:p>
    <w:p>
      <w:pPr>
        <w:pStyle w:val="Normal"/>
        <w:widowControl/>
        <w:jc w:val="center"/>
        <w:rPr>
          <w:sz w:val="24"/>
          <w:u w:val="single"/>
        </w:rPr>
      </w:pPr>
      <w:r>
        <w:rPr>
          <w:b/>
          <w:bCs/>
          <w:sz w:val="24"/>
        </w:rPr>
        <w:t>Financial Statements</w:t>
      </w:r>
    </w:p>
    <w:p>
      <w:pPr>
        <w:pStyle w:val="Single"/>
        <w:widowControl/>
        <w:ind w:hanging="0" w:end="0"/>
        <w:rPr>
          <w:sz w:val="24"/>
        </w:rPr>
      </w:pPr>
      <w:r>
        <w:rPr>
          <w:sz w:val="24"/>
        </w:rPr>
        <w:t xml:space="preserve">Please see attached financial statements.  </w:t>
      </w:r>
      <w:r>
        <w:br w:type="page"/>
      </w:r>
    </w:p>
    <w:p>
      <w:pPr>
        <w:pStyle w:val="Normal"/>
        <w:widowControl/>
        <w:jc w:val="center"/>
        <w:rPr/>
      </w:pPr>
      <w:r>
        <w:rPr>
          <w:b/>
          <w:bCs/>
          <w:smallCaps/>
          <w:sz w:val="24"/>
        </w:rPr>
        <w:t>Schedule</w:t>
      </w:r>
      <w:r>
        <w:rPr>
          <w:b/>
          <w:bCs/>
          <w:sz w:val="24"/>
        </w:rPr>
        <w:t xml:space="preserve"> 2.7</w:t>
      </w:r>
    </w:p>
    <w:p>
      <w:pPr>
        <w:pStyle w:val="Normal"/>
        <w:widowControl/>
        <w:jc w:val="center"/>
        <w:rPr>
          <w:b/>
          <w:bCs/>
          <w:sz w:val="24"/>
        </w:rPr>
      </w:pPr>
      <w:r>
        <w:rPr>
          <w:b/>
          <w:bCs/>
          <w:sz w:val="24"/>
        </w:rPr>
      </w:r>
    </w:p>
    <w:p>
      <w:pPr>
        <w:pStyle w:val="Normal"/>
        <w:widowControl/>
        <w:jc w:val="center"/>
        <w:rPr>
          <w:sz w:val="24"/>
          <w:u w:val="single"/>
        </w:rPr>
      </w:pPr>
      <w:r>
        <w:rPr>
          <w:b/>
          <w:bCs/>
          <w:sz w:val="24"/>
        </w:rPr>
        <w:t>No Conflict or Violation</w:t>
      </w:r>
    </w:p>
    <w:p>
      <w:pPr>
        <w:pStyle w:val="Single"/>
        <w:widowControl/>
        <w:ind w:hanging="720" w:start="720" w:end="0"/>
        <w:rPr>
          <w:sz w:val="24"/>
        </w:rPr>
      </w:pPr>
      <w:r>
        <w:rPr>
          <w:sz w:val="24"/>
        </w:rPr>
        <w:t>1.</w:t>
        <w:tab/>
      </w:r>
      <w:r>
        <w:rPr>
          <w:sz w:val="24"/>
          <w:u w:val="single"/>
        </w:rPr>
        <w:t>Laws, Orders and Decrees:</w:t>
      </w:r>
    </w:p>
    <w:p>
      <w:pPr>
        <w:pStyle w:val="Single"/>
        <w:widowControl/>
        <w:ind w:hanging="0" w:start="720" w:end="0"/>
        <w:rPr/>
      </w:pPr>
      <w:r>
        <w:rPr>
          <w:sz w:val="24"/>
        </w:rPr>
        <w:t>A.</w:t>
        <w:tab/>
        <w:t xml:space="preserve">Please see </w:t>
      </w:r>
      <w:r>
        <w:rPr>
          <w:sz w:val="24"/>
          <w:u w:val="single"/>
        </w:rPr>
        <w:t>Schedule 2.8</w:t>
      </w:r>
      <w:r>
        <w:rPr>
          <w:sz w:val="24"/>
        </w:rPr>
        <w:t>.</w:t>
      </w:r>
    </w:p>
    <w:p>
      <w:pPr>
        <w:pStyle w:val="Single"/>
        <w:widowControl/>
        <w:ind w:hanging="720" w:start="720" w:end="0"/>
        <w:rPr>
          <w:sz w:val="24"/>
        </w:rPr>
      </w:pPr>
      <w:r>
        <w:rPr>
          <w:sz w:val="24"/>
        </w:rPr>
        <w:t>2.</w:t>
        <w:tab/>
      </w:r>
      <w:r>
        <w:rPr>
          <w:sz w:val="24"/>
          <w:u w:val="single"/>
        </w:rPr>
        <w:t>Licenses:</w:t>
      </w:r>
    </w:p>
    <w:p>
      <w:pPr>
        <w:pStyle w:val="Single"/>
        <w:widowControl/>
        <w:ind w:hanging="0" w:start="720" w:end="0"/>
        <w:rPr/>
      </w:pPr>
      <w:r>
        <w:rPr>
          <w:sz w:val="24"/>
        </w:rPr>
        <w:t>A.</w:t>
        <w:tab/>
        <w:t xml:space="preserve">Please see </w:t>
      </w:r>
      <w:r>
        <w:rPr>
          <w:sz w:val="24"/>
          <w:u w:val="single"/>
        </w:rPr>
        <w:t>Schedule 2.8</w:t>
      </w:r>
      <w:r>
        <w:rPr>
          <w:sz w:val="24"/>
        </w:rPr>
        <w:t>.</w:t>
      </w:r>
      <w:r>
        <w:br w:type="page"/>
      </w:r>
    </w:p>
    <w:p>
      <w:pPr>
        <w:pStyle w:val="Normal"/>
        <w:widowControl/>
        <w:jc w:val="center"/>
        <w:rPr/>
      </w:pPr>
      <w:r>
        <w:rPr>
          <w:b/>
          <w:bCs/>
          <w:smallCaps/>
          <w:sz w:val="24"/>
        </w:rPr>
        <w:t>Schedule</w:t>
      </w:r>
      <w:r>
        <w:rPr>
          <w:b/>
          <w:bCs/>
          <w:sz w:val="24"/>
        </w:rPr>
        <w:t xml:space="preserve"> 2.8</w:t>
      </w:r>
    </w:p>
    <w:p>
      <w:pPr>
        <w:pStyle w:val="Normal"/>
        <w:widowControl/>
        <w:jc w:val="center"/>
        <w:rPr>
          <w:b/>
          <w:bCs/>
          <w:sz w:val="24"/>
        </w:rPr>
      </w:pPr>
      <w:r>
        <w:rPr>
          <w:b/>
          <w:bCs/>
          <w:sz w:val="24"/>
        </w:rPr>
      </w:r>
    </w:p>
    <w:p>
      <w:pPr>
        <w:pStyle w:val="Normal"/>
        <w:widowControl/>
        <w:jc w:val="center"/>
        <w:rPr>
          <w:sz w:val="24"/>
          <w:u w:val="single"/>
        </w:rPr>
      </w:pPr>
      <w:r>
        <w:rPr>
          <w:b/>
          <w:bCs/>
          <w:sz w:val="24"/>
        </w:rPr>
        <w:t>Governmental Consents</w:t>
      </w:r>
    </w:p>
    <w:p>
      <w:pPr>
        <w:pStyle w:val="Single"/>
        <w:widowControl/>
        <w:ind w:hanging="720" w:start="720" w:end="0"/>
        <w:rPr>
          <w:sz w:val="24"/>
        </w:rPr>
      </w:pPr>
      <w:r>
        <w:rPr>
          <w:sz w:val="24"/>
        </w:rPr>
        <w:t>1.</w:t>
        <w:tab/>
        <w:t>Approval of the FERC is required in connection with the transfer of FERC Jurisdictional facilities under Section 203 of the Federal Power Act.</w:t>
      </w:r>
      <w:r>
        <w:br w:type="page"/>
      </w:r>
    </w:p>
    <w:p>
      <w:pPr>
        <w:pStyle w:val="Normal"/>
        <w:widowControl/>
        <w:jc w:val="center"/>
        <w:rPr/>
      </w:pPr>
      <w:r>
        <w:rPr>
          <w:b/>
          <w:bCs/>
          <w:smallCaps/>
          <w:sz w:val="24"/>
        </w:rPr>
        <w:t>Schedule</w:t>
      </w:r>
      <w:r>
        <w:rPr>
          <w:b/>
          <w:bCs/>
          <w:sz w:val="24"/>
        </w:rPr>
        <w:t xml:space="preserve"> 2.9</w:t>
      </w:r>
    </w:p>
    <w:p>
      <w:pPr>
        <w:pStyle w:val="Normal"/>
        <w:widowControl/>
        <w:jc w:val="center"/>
        <w:rPr>
          <w:b/>
          <w:bCs/>
          <w:sz w:val="24"/>
        </w:rPr>
      </w:pPr>
      <w:r>
        <w:rPr>
          <w:b/>
          <w:bCs/>
          <w:sz w:val="24"/>
        </w:rPr>
      </w:r>
    </w:p>
    <w:p>
      <w:pPr>
        <w:pStyle w:val="Normal"/>
        <w:widowControl/>
        <w:jc w:val="center"/>
        <w:rPr>
          <w:sz w:val="24"/>
          <w:u w:val="single"/>
        </w:rPr>
      </w:pPr>
      <w:r>
        <w:rPr>
          <w:b/>
          <w:bCs/>
          <w:sz w:val="24"/>
        </w:rPr>
        <w:t>Pending or Threatened Legal Actions</w:t>
      </w:r>
    </w:p>
    <w:p>
      <w:pPr>
        <w:pStyle w:val="Single"/>
        <w:widowControl/>
        <w:ind w:hanging="0" w:end="0"/>
        <w:rPr/>
      </w:pPr>
      <w:r>
        <w:rPr>
          <w:sz w:val="24"/>
        </w:rPr>
        <w:t>1.</w:t>
        <w:tab/>
      </w:r>
      <w:r>
        <w:rPr>
          <w:sz w:val="24"/>
          <w:u w:val="single"/>
        </w:rPr>
        <w:t>The Partnership</w:t>
      </w:r>
      <w:r>
        <w:rPr>
          <w:sz w:val="24"/>
        </w:rPr>
        <w:t>.</w:t>
      </w:r>
    </w:p>
    <w:p>
      <w:pPr>
        <w:pStyle w:val="Single"/>
        <w:widowControl/>
        <w:ind w:hanging="720" w:start="1440" w:end="0"/>
        <w:rPr/>
      </w:pPr>
      <w:r>
        <w:rPr>
          <w:sz w:val="24"/>
        </w:rPr>
        <w:t>A.</w:t>
        <w:tab/>
      </w:r>
      <w:r>
        <w:rPr>
          <w:sz w:val="24"/>
          <w:u w:val="single"/>
        </w:rPr>
        <w:t>Applied Electric Corp., et al Litigation</w:t>
      </w:r>
      <w:r>
        <w:rPr>
          <w:sz w:val="24"/>
        </w:rPr>
        <w:t>:  In August 1995, Applied Electric Corp., Big Apple Warehouse, Inc. and Brooks Services, Inc. ("</w:t>
      </w:r>
      <w:r>
        <w:rPr>
          <w:b/>
          <w:bCs/>
          <w:sz w:val="24"/>
        </w:rPr>
        <w:t>Plaintiffs</w:t>
      </w:r>
      <w:r>
        <w:rPr>
          <w:sz w:val="24"/>
        </w:rPr>
        <w:t>") filed a complaint against the Partnership, PMNC Joint Venture, alleging that construction activities for the Facility damaged their cold storage and electrical contracting businesses.  Plaintiffs seek final relief based on theories of negligence, nuisance, trespass, intentional tort, prima facie tort and harassment.  In addition, Plaintiffs sought to permanently enjoin the continuing construction of the Facility.  In their verified complaint, Plaintiffs seek $10 million in compensatory damages on their negligence cause of action, and $10 million in compensatory damages and $50 million in punitive damages on each of the five additional causes of action.  On May 12, 1997, the matter was marked disposed for Plaintiffs' lack of response to discovery requests.  On June 23, 1997, Plaintiffs served a combined response to the discovery demands, which co-defendant PMNC Joint Venture's counsel declared "deficient" in a letter to Plaintiffs.  There has been no activity on this case during the last 3 years.</w:t>
      </w:r>
    </w:p>
    <w:p>
      <w:pPr>
        <w:pStyle w:val="Single"/>
        <w:widowControl/>
        <w:ind w:hanging="720" w:start="1440" w:end="0"/>
        <w:rPr/>
      </w:pPr>
      <w:r>
        <w:rPr>
          <w:sz w:val="24"/>
        </w:rPr>
        <w:t>B.</w:t>
        <w:tab/>
      </w:r>
      <w:r>
        <w:rPr>
          <w:sz w:val="24"/>
          <w:u w:val="single"/>
        </w:rPr>
        <w:t>Big Apple Wrecking</w:t>
      </w:r>
      <w:r>
        <w:rPr>
          <w:sz w:val="24"/>
        </w:rPr>
        <w:t>:  The Partnership contracted with Big Apple Wrecking &amp; Construction Corp. (“</w:t>
      </w:r>
      <w:r>
        <w:rPr>
          <w:b/>
          <w:bCs/>
          <w:sz w:val="24"/>
        </w:rPr>
        <w:t>Big Apple</w:t>
      </w:r>
      <w:r>
        <w:rPr>
          <w:sz w:val="24"/>
        </w:rPr>
        <w:t>”) to perform dismantling and renovation of Building B-41, which houses the cogeneration facility developed by the Partnership.  The Partnership also contracted with PMNC Joint Venture ("</w:t>
      </w:r>
      <w:r>
        <w:rPr>
          <w:b/>
          <w:bCs/>
          <w:sz w:val="24"/>
        </w:rPr>
        <w:t>PMNC</w:t>
      </w:r>
      <w:r>
        <w:rPr>
          <w:sz w:val="24"/>
        </w:rPr>
        <w:t>"), to construct the cogeneration facility within Building B-41.  Certain workers have filed claims for an aggregate amount of $97,572,000 (as of June 30, 2001) involving the Partnership and Brooklyn Navy Yard Development Corporation ("</w:t>
      </w:r>
      <w:r>
        <w:rPr>
          <w:b/>
          <w:bCs/>
          <w:sz w:val="24"/>
        </w:rPr>
        <w:t>BNYDC</w:t>
      </w:r>
      <w:r>
        <w:rPr>
          <w:sz w:val="24"/>
        </w:rPr>
        <w:t>") regarding alleged injuries occurring during the course of their work at the project site (the “</w:t>
      </w:r>
      <w:r>
        <w:rPr>
          <w:b/>
          <w:bCs/>
          <w:sz w:val="24"/>
        </w:rPr>
        <w:t>Workmen Litigation Claims</w:t>
      </w:r>
      <w:r>
        <w:rPr>
          <w:sz w:val="24"/>
        </w:rPr>
        <w:t>”).  Under the Dismantling Agreement dated July 26, 1993 between the Partnership and Big Apple, Big Apple is obligated to indemnify the Partnership for any losses or costs incurred by the Partnership resulting from Big Apple’s activities.  Moreover, the Construction Turnkey Agreement dated November 1, 1994, between the Partnership and PMNC, requires PMNC to maintain and assign to BNYDC extensive insurance coverage for worker injuries occurring at the project site.  The Partnership is obligated to indemnify BNYDC pursuant to its Lease Agreement with BNYDC dated December 18, 1989, for losses or costs incurred by BNYDC resulting from the Partnership's development and operation of the Facility.  The Workmen Litigation Claims have been tendered to, and litigation matters are being handled by, Big Apple's and PMNC’s insurers.  Currently there are eight pending Workmen Litigation Claims.  The aggregate amount claimed for damages is $97,450,000.  The Partnership anticipates filing motions for summary judgment at the conclusion of discovery in five of the cases, and expects that the remaining three will go to trial.</w:t>
      </w:r>
    </w:p>
    <w:p>
      <w:pPr>
        <w:pStyle w:val="Single"/>
        <w:widowControl/>
        <w:ind w:hanging="720" w:start="1440" w:end="0"/>
        <w:rPr/>
      </w:pPr>
      <w:r>
        <w:rPr>
          <w:sz w:val="24"/>
        </w:rPr>
        <w:t>C.</w:t>
        <w:tab/>
      </w:r>
      <w:r>
        <w:rPr>
          <w:sz w:val="24"/>
          <w:u w:val="single"/>
        </w:rPr>
        <w:t>Brooklyn Navy Yard Cogeneration Partners v. PMNC, et al.</w:t>
      </w:r>
      <w:r>
        <w:rPr>
          <w:sz w:val="24"/>
        </w:rPr>
        <w:t>:  This lawsuit arises out of the performance of a $273 million turnkey contract (the "</w:t>
      </w:r>
      <w:r>
        <w:rPr>
          <w:b/>
          <w:bCs/>
          <w:sz w:val="24"/>
        </w:rPr>
        <w:t>Contract</w:t>
      </w:r>
      <w:r>
        <w:rPr>
          <w:sz w:val="24"/>
        </w:rPr>
        <w:t>") to design and construct the Facility.  The owner of the Facility, the Partnership, pursuant to various contractual provisions providing for offsets of amounts that might otherwise have been paid under the terms of the Contract, paid the contractor, PMNC, approximately $230 million.  The lawsuit involves a claim by the Partnership against PMNC to recover losses, totaling approximately $45 million plus punitive damages, over and above the approximately $43 million offset by the Partnership, due to an alleged failure of PMNC to meet the terms of the Contract.  In turn, PMNC claims that it is entitled to damages in the amount of $136.8 million, which includes the full contract price, certain bonuses, and additional damages, as a result of the Partnership’s alleged acceleration of certain aspects of PMNC's work and delays of other aspects of PMNC’s work.</w:t>
      </w:r>
    </w:p>
    <w:p>
      <w:pPr>
        <w:pStyle w:val="Single"/>
        <w:widowControl/>
        <w:ind w:hanging="0" w:start="1440" w:end="0"/>
        <w:rPr/>
      </w:pPr>
      <w:r>
        <w:rPr>
          <w:sz w:val="24"/>
        </w:rPr>
        <w:t>Pursuant to the Contract, PMNC agreed to meet certain performance milestones.  One such milestone was the achievement on or before November 30, 1995 of a four-hour 170-megawatt test (the “</w:t>
      </w:r>
      <w:r>
        <w:rPr>
          <w:b/>
          <w:bCs/>
          <w:sz w:val="24"/>
        </w:rPr>
        <w:t>170-Megawatt Test</w:t>
      </w:r>
      <w:r>
        <w:rPr>
          <w:sz w:val="24"/>
        </w:rPr>
        <w:t>”).  The Contract provided for the Partnership’s assessment of liquidated damages against PMNC in the amount of $96,000 per day for each calendar day that PMNC failed to achieve the 170-Megawatt Test after November 30, 1995.  The Contract capped these liquidated damages at $3 million.  PMNC did not perform the 170-megawatt test until March 17, 1996.  Accordingly, the Partnership assessed $3 million in liquidated damages against PMNC.</w:t>
      </w:r>
    </w:p>
    <w:p>
      <w:pPr>
        <w:pStyle w:val="Single"/>
        <w:widowControl/>
        <w:ind w:hanging="0" w:start="1440" w:end="0"/>
        <w:rPr>
          <w:sz w:val="24"/>
        </w:rPr>
      </w:pPr>
      <w:r>
        <w:rPr>
          <w:sz w:val="24"/>
        </w:rPr>
        <w:t>Another milestone to which PMNC agreed was the turnover of the Facility on or before May 31, 1996.  Once again, the Contract provided for the assessment of liquidated damages against PMNC in the amount of $96,000 per day, offset by revenues from the sales of energy, for each calendar day that PMNC failed to achieve turnover after May 31, 1996.  PMNC alleges that it achieved turnover on August 15, 1996.  The Partnership, on the other hand, alleges that PMNC failed to meet the requirements for turnover of the Facility and terminated the Contract on January 31, 1997 as a result of such failure.  Accordingly, the Partnership assessed liquidated damages in the amount of $96,000 per day against PMNC from June 1, 1996 until January 31, 1997, which, when offset by revenues from energy sales, totaled approximately $21.1 million.</w:t>
      </w:r>
    </w:p>
    <w:p>
      <w:pPr>
        <w:pStyle w:val="Single"/>
        <w:widowControl/>
        <w:ind w:hanging="0" w:start="1440" w:end="0"/>
        <w:rPr>
          <w:sz w:val="24"/>
        </w:rPr>
      </w:pPr>
      <w:r>
        <w:rPr>
          <w:sz w:val="24"/>
        </w:rPr>
        <w:t xml:space="preserve">The Partnership’s additional claims center on PMNC’s belated construction of an incomplete and defective Facility.  The Partnership alleges that the value of the punch list and incomplete and defective items equals approximately $21 million.  The Partnership also claims that it is entitled to approximately $10.7 million from PMNC for the provision of utilities used by PMNC during the construction of the Facility.  As a result, when the amount of liquidated damages is included, the Partnership claims it is entitled to approximately $56 million in offsets from the Contract price of $273 million.  Since it has already withheld approximately $43 million in contractual payments, the Partnership claims that PMNC owes it an additional $13 million.  </w:t>
      </w:r>
    </w:p>
    <w:p>
      <w:pPr>
        <w:pStyle w:val="Single"/>
        <w:widowControl/>
        <w:ind w:hanging="0" w:start="1440" w:end="0"/>
        <w:rPr/>
      </w:pPr>
      <w:r>
        <w:rPr>
          <w:sz w:val="24"/>
        </w:rPr>
        <w:t>In addition, the Partnership alleges that PMNC improperly designed and installed the Facility’s Heat Recovery Steam Generators (the “</w:t>
      </w:r>
      <w:r>
        <w:rPr>
          <w:b/>
          <w:bCs/>
          <w:sz w:val="24"/>
        </w:rPr>
        <w:t>HRSGs</w:t>
      </w:r>
      <w:r>
        <w:rPr>
          <w:sz w:val="24"/>
        </w:rPr>
        <w:t>”).  The Partnership claims that the cost to repair and remedy the leaks to the tubes of the HRSGs will exceed $32 million and is seeking this amount, together with punitive damages, from PMNC.</w:t>
      </w:r>
    </w:p>
    <w:p>
      <w:pPr>
        <w:pStyle w:val="Single"/>
        <w:widowControl/>
        <w:ind w:hanging="0" w:start="1440" w:end="0"/>
        <w:rPr>
          <w:sz w:val="24"/>
        </w:rPr>
      </w:pPr>
      <w:r>
        <w:rPr>
          <w:sz w:val="24"/>
        </w:rPr>
        <w:t>PMNC claims that the Partnership, through a continuous pattern throughout the construction of the Facility, interfered with and delayed the performance of its work.  PMNC alleges that as a result of the Partnership’s interference, it is entitled to extensions of time to meet the milestone dates.  When these extensions of time are factored into the schedule for the construction of the Facility, PMNC claims that it achieved turnover on or before the milestone date set forth in the Contract.  PMNC calculates that it is entitled to $11.8 million from the Partnership as a result of the Partnership’s drawing down a letter of credit in this amount established by PMNC for the benefit of the Partnership.  Additionally, PMNC alleges that it is entitled to $125 million in damages due to the Partnership’s alleged interference with the performance of PMNC’s obligations under the Contract.</w:t>
      </w:r>
    </w:p>
    <w:p>
      <w:pPr>
        <w:pStyle w:val="Single"/>
        <w:widowControl/>
        <w:ind w:hanging="0" w:start="1440" w:end="0"/>
        <w:rPr/>
      </w:pPr>
      <w:r>
        <w:rPr>
          <w:sz w:val="24"/>
        </w:rPr>
        <w:t xml:space="preserve">On February 4, 1997, PMNC commenced an action in California against the Partnership seeking $136.8 million in damages.  On February 20, 1997, the Partnership commenced an action in New York against PMNC.  The California court stayed PMNC’s action to allow the action in New York to proceed.  PMNC has asserted its claims for $136.8 million by way of counterclaim in the New York action.  Originally, PMNC also alleged a </w:t>
      </w:r>
      <w:r>
        <w:rPr>
          <w:i/>
          <w:iCs/>
          <w:sz w:val="24"/>
        </w:rPr>
        <w:t>quantum meruit</w:t>
      </w:r>
      <w:r>
        <w:rPr>
          <w:sz w:val="24"/>
        </w:rPr>
        <w:t xml:space="preserve"> cause of action against the Partnership, which the Partnership moved to dismiss.  Following denial of the Partnership’s motion, a New York State appellate court reversed the ruling and held that PMNC may not pursue a </w:t>
      </w:r>
      <w:r>
        <w:rPr>
          <w:i/>
          <w:iCs/>
          <w:sz w:val="24"/>
        </w:rPr>
        <w:t xml:space="preserve">quantum meruit </w:t>
      </w:r>
      <w:r>
        <w:rPr>
          <w:sz w:val="24"/>
        </w:rPr>
        <w:t>cause of action since the Contract constituted a fully integrated written agreement between the parties.</w:t>
      </w:r>
    </w:p>
    <w:p>
      <w:pPr>
        <w:pStyle w:val="Single"/>
        <w:widowControl/>
        <w:ind w:hanging="0" w:start="1440" w:end="0"/>
        <w:rPr>
          <w:sz w:val="24"/>
        </w:rPr>
      </w:pPr>
      <w:r>
        <w:rPr>
          <w:sz w:val="24"/>
        </w:rPr>
        <w:t>The parties previously engaged in an unsuccessful mediation session in California, and are now in the discovery phase of the New York action.  Recently, the New York judge assigned to this case suggested that the parties pursue a mediation effort in New York.  The parties and the Court are working towards selecting mediators and agreeing on procedures for the mediation.</w:t>
      </w:r>
    </w:p>
    <w:p>
      <w:pPr>
        <w:pStyle w:val="Single"/>
        <w:widowControl/>
        <w:ind w:hanging="720" w:start="1440" w:end="0"/>
        <w:rPr/>
      </w:pPr>
      <w:r>
        <w:rPr>
          <w:sz w:val="24"/>
        </w:rPr>
        <w:t>D.</w:t>
        <w:tab/>
      </w:r>
      <w:r>
        <w:rPr>
          <w:sz w:val="24"/>
          <w:u w:val="single"/>
        </w:rPr>
        <w:t>Consolidated Edison Company Steam Pipe Cracks</w:t>
      </w:r>
      <w:r>
        <w:rPr>
          <w:sz w:val="24"/>
        </w:rPr>
        <w:t>:  In November 2000, Consolidated Edison Company ("</w:t>
      </w:r>
      <w:r>
        <w:rPr>
          <w:b/>
          <w:bCs/>
          <w:sz w:val="24"/>
        </w:rPr>
        <w:t>ConEd</w:t>
      </w:r>
      <w:r>
        <w:rPr>
          <w:sz w:val="24"/>
        </w:rPr>
        <w:t xml:space="preserve">") experienced cracks in its steam pipes, which subsequently led to the Facility experiencing similar cracks in its steam pipes as well.  ConEd requested arbitration to assess fault for the cracks in the steam pipes.  The Partnership instead offered to pursue a settlement with ConEd for an amount of $4 million, to be split equally by the Partnership and ConEd.  The $4 million would be used to adjust the quality of the steam in an effort to remedy the cracking of the steam pipes.  Discussions with ConEd are still ongoing.  </w:t>
      </w:r>
    </w:p>
    <w:p>
      <w:pPr>
        <w:pStyle w:val="Single"/>
        <w:widowControl/>
        <w:ind w:hanging="720" w:start="1440" w:end="0"/>
        <w:rPr/>
      </w:pPr>
      <w:r>
        <w:rPr>
          <w:sz w:val="24"/>
        </w:rPr>
        <w:t>E.</w:t>
        <w:tab/>
      </w:r>
      <w:r>
        <w:rPr>
          <w:sz w:val="24"/>
          <w:u w:val="single"/>
        </w:rPr>
        <w:t>ConEd Arbitration</w:t>
      </w:r>
      <w:r>
        <w:rPr>
          <w:sz w:val="24"/>
        </w:rPr>
        <w:t>:  ConEd and the Partnership are currently in disagreement over contract payments made to the Partnership during the period from August 1997 through December 1997 pursuant to the Energy Sales Agreement dated October 31, 1996, between ConEd and the Partnership.  On May 24, 2001, non-binding mediation took place without success.  The Partnership and ConEd are in the process of filing arbitration papers.  The dollar amount of the dispute is $2.2 million, plus an additional $1.0 million in interest.</w:t>
      </w:r>
    </w:p>
    <w:p>
      <w:pPr>
        <w:pStyle w:val="Single"/>
        <w:widowControl/>
        <w:ind w:hanging="720" w:start="1440" w:end="0"/>
        <w:rPr/>
      </w:pPr>
      <w:r>
        <w:rPr>
          <w:sz w:val="24"/>
        </w:rPr>
        <w:t>F.</w:t>
        <w:tab/>
      </w:r>
      <w:r>
        <w:rPr>
          <w:sz w:val="24"/>
          <w:u w:val="single"/>
        </w:rPr>
        <w:t>KeySpan Arbitration</w:t>
      </w:r>
      <w:r>
        <w:rPr>
          <w:sz w:val="24"/>
        </w:rPr>
        <w:t>:  In January 2000, KeySpan Energy Development Corporation ("</w:t>
      </w:r>
      <w:r>
        <w:rPr>
          <w:b/>
          <w:bCs/>
          <w:sz w:val="24"/>
        </w:rPr>
        <w:t>KeySpan</w:t>
      </w:r>
      <w:r>
        <w:rPr>
          <w:sz w:val="24"/>
        </w:rPr>
        <w:t>") sold gas from the Facility to North American Energy Conservation.  The third party subsequently petitioned for bankruptcy and KeySpan did not receive payment for the gas from the third party.  KeySpan alleges that they are entitled to a refund of $1.2 million.  KeySpan and the Partnership are currently in settlement discussions.  However, the matter will likely go to arbitration.</w:t>
      </w:r>
    </w:p>
    <w:p>
      <w:pPr>
        <w:pStyle w:val="Single"/>
        <w:widowControl/>
        <w:ind w:hanging="720" w:start="1440" w:end="0"/>
        <w:rPr/>
      </w:pPr>
      <w:r>
        <w:rPr>
          <w:sz w:val="24"/>
        </w:rPr>
        <w:t>G.</w:t>
        <w:tab/>
      </w:r>
      <w:r>
        <w:rPr>
          <w:sz w:val="24"/>
          <w:u w:val="single"/>
        </w:rPr>
        <w:t>New York State Tax Audit</w:t>
      </w:r>
      <w:r>
        <w:rPr>
          <w:sz w:val="24"/>
        </w:rPr>
        <w:t>:  In February 2000, the New York State Department of Taxation ("</w:t>
      </w:r>
      <w:r>
        <w:rPr>
          <w:b/>
          <w:bCs/>
          <w:sz w:val="24"/>
        </w:rPr>
        <w:t>NYSDOT</w:t>
      </w:r>
      <w:r>
        <w:rPr>
          <w:sz w:val="24"/>
        </w:rPr>
        <w:t xml:space="preserve">") audited the Facility's natural gas import tax payments.  The audit is still currently ongoing.  The Partnership claims a full exemption; therefore, no tax has ever been paid on the importation of natural gas.  NYSDOT has verbally challenged the Facility's exemption and has verbally indicated that they believe the Facility is not exempt from taxation.  Back taxes potentially owed by the Partnership are estimated by the Partnership at $7 million, plus an additional $3 million in penalties.  However, some, and possibly all, of the back taxes may be reimbursable by ConEd. </w:t>
      </w:r>
      <w:r>
        <w:br w:type="page"/>
      </w:r>
    </w:p>
    <w:p>
      <w:pPr>
        <w:pStyle w:val="Normal"/>
        <w:widowControl/>
        <w:jc w:val="center"/>
        <w:rPr/>
      </w:pPr>
      <w:r>
        <w:rPr>
          <w:b/>
          <w:bCs/>
          <w:smallCaps/>
          <w:sz w:val="24"/>
        </w:rPr>
        <w:t>Schedule</w:t>
      </w:r>
      <w:r>
        <w:rPr>
          <w:b/>
          <w:bCs/>
          <w:sz w:val="24"/>
        </w:rPr>
        <w:t xml:space="preserve"> 2.10</w:t>
      </w:r>
    </w:p>
    <w:p>
      <w:pPr>
        <w:pStyle w:val="Normal"/>
        <w:widowControl/>
        <w:jc w:val="center"/>
        <w:rPr>
          <w:b/>
          <w:bCs/>
          <w:sz w:val="24"/>
        </w:rPr>
      </w:pPr>
      <w:r>
        <w:rPr>
          <w:b/>
          <w:bCs/>
          <w:sz w:val="24"/>
        </w:rPr>
      </w:r>
    </w:p>
    <w:p>
      <w:pPr>
        <w:pStyle w:val="Normal"/>
        <w:widowControl/>
        <w:jc w:val="center"/>
        <w:rPr>
          <w:sz w:val="24"/>
          <w:u w:val="single"/>
        </w:rPr>
      </w:pPr>
      <w:r>
        <w:rPr>
          <w:b/>
          <w:bCs/>
          <w:sz w:val="24"/>
        </w:rPr>
        <w:t>Contracts</w:t>
      </w:r>
    </w:p>
    <w:p>
      <w:pPr>
        <w:pStyle w:val="Single"/>
        <w:widowControl/>
        <w:ind w:hanging="0" w:end="0"/>
        <w:rPr/>
      </w:pPr>
      <w:r>
        <w:rPr>
          <w:sz w:val="24"/>
          <w:u w:val="single"/>
        </w:rPr>
        <w:t>The Partnership</w:t>
      </w:r>
      <w:r>
        <w:rPr>
          <w:sz w:val="24"/>
        </w:rPr>
        <w:t>.</w:t>
      </w:r>
    </w:p>
    <w:p>
      <w:pPr>
        <w:pStyle w:val="Single"/>
        <w:widowControl/>
        <w:ind w:hanging="720" w:start="1440" w:end="0"/>
        <w:rPr>
          <w:sz w:val="24"/>
        </w:rPr>
      </w:pPr>
      <w:r>
        <w:rPr>
          <w:sz w:val="24"/>
        </w:rPr>
        <w:t>A.</w:t>
        <w:tab/>
        <w:t>Energy Sales Agreement, dated October 31, 1996, with Consolidated Edison Company.</w:t>
      </w:r>
    </w:p>
    <w:p>
      <w:pPr>
        <w:pStyle w:val="Single"/>
        <w:widowControl/>
        <w:ind w:hanging="720" w:start="1440" w:end="0"/>
        <w:rPr>
          <w:sz w:val="24"/>
        </w:rPr>
      </w:pPr>
      <w:r>
        <w:rPr>
          <w:sz w:val="24"/>
        </w:rPr>
        <w:t>B.</w:t>
        <w:tab/>
        <w:t>Energy Sales Agreement, dated April 29, 1994, with Brooklyn Navy Yard Development Corporation.</w:t>
      </w:r>
    </w:p>
    <w:p>
      <w:pPr>
        <w:pStyle w:val="Single"/>
        <w:widowControl/>
        <w:ind w:hanging="720" w:start="1440" w:end="0"/>
        <w:rPr>
          <w:sz w:val="24"/>
        </w:rPr>
      </w:pPr>
      <w:r>
        <w:rPr>
          <w:sz w:val="24"/>
        </w:rPr>
        <w:t>C.</w:t>
        <w:tab/>
        <w:t>Power Purchase Agreement, dated December 17, 1997, with Edison Source Corporation.</w:t>
      </w:r>
    </w:p>
    <w:p>
      <w:pPr>
        <w:pStyle w:val="Single"/>
        <w:widowControl/>
        <w:ind w:hanging="720" w:start="1440" w:end="0"/>
        <w:rPr>
          <w:sz w:val="24"/>
        </w:rPr>
      </w:pPr>
      <w:r>
        <w:rPr>
          <w:sz w:val="24"/>
        </w:rPr>
        <w:t>D.</w:t>
        <w:tab/>
        <w:t>Energy Services Exchange Agreement, dated January 31, 1995, with The City of New York on behalf of Red Hook Water Pollution Control Plant.</w:t>
      </w:r>
    </w:p>
    <w:p>
      <w:pPr>
        <w:pStyle w:val="Single"/>
        <w:widowControl/>
        <w:ind w:hanging="720" w:start="1440" w:end="0"/>
        <w:rPr>
          <w:sz w:val="24"/>
        </w:rPr>
      </w:pPr>
      <w:r>
        <w:rPr>
          <w:sz w:val="24"/>
        </w:rPr>
        <w:t>E.</w:t>
        <w:tab/>
        <w:t>Gas Sales Agreement, dated October 20, 1993, with PanCanadian Petroleum Limited.</w:t>
      </w:r>
    </w:p>
    <w:p>
      <w:pPr>
        <w:pStyle w:val="Single"/>
        <w:widowControl/>
        <w:ind w:hanging="720" w:start="1440" w:end="0"/>
        <w:rPr>
          <w:sz w:val="24"/>
        </w:rPr>
      </w:pPr>
      <w:r>
        <w:rPr>
          <w:sz w:val="24"/>
        </w:rPr>
        <w:t>F.</w:t>
        <w:tab/>
        <w:t>Gas Sales Agreement, dated October 21, 1993, with Crestar Energy.</w:t>
      </w:r>
    </w:p>
    <w:p>
      <w:pPr>
        <w:pStyle w:val="Single"/>
        <w:widowControl/>
        <w:ind w:hanging="720" w:start="1440" w:end="0"/>
        <w:rPr>
          <w:sz w:val="24"/>
        </w:rPr>
      </w:pPr>
      <w:r>
        <w:rPr>
          <w:sz w:val="24"/>
        </w:rPr>
        <w:t>G.</w:t>
        <w:tab/>
        <w:t>Gas Sales Agreement, dated March 21, 1995, with El Paso.</w:t>
      </w:r>
    </w:p>
    <w:p>
      <w:pPr>
        <w:pStyle w:val="Single"/>
        <w:widowControl/>
        <w:ind w:hanging="720" w:start="1440" w:end="0"/>
        <w:rPr>
          <w:sz w:val="24"/>
        </w:rPr>
      </w:pPr>
      <w:r>
        <w:rPr>
          <w:sz w:val="24"/>
        </w:rPr>
        <w:t>H.</w:t>
        <w:tab/>
        <w:t>Fuel Oil Supply Agreement, dated August 22, 2000, with Tosco Refining L.P.</w:t>
      </w:r>
    </w:p>
    <w:p>
      <w:pPr>
        <w:pStyle w:val="Single"/>
        <w:widowControl/>
        <w:ind w:hanging="720" w:start="1440" w:end="0"/>
        <w:rPr>
          <w:sz w:val="24"/>
        </w:rPr>
      </w:pPr>
      <w:r>
        <w:rPr>
          <w:sz w:val="24"/>
        </w:rPr>
        <w:t>I.</w:t>
        <w:tab/>
        <w:t>Firm Transportation Service Contract, dated January 25, 1995, with TransCanadian Pipelines Limited.</w:t>
      </w:r>
    </w:p>
    <w:p>
      <w:pPr>
        <w:pStyle w:val="Single"/>
        <w:widowControl/>
        <w:ind w:hanging="720" w:start="1440" w:end="0"/>
        <w:rPr>
          <w:sz w:val="24"/>
        </w:rPr>
      </w:pPr>
      <w:r>
        <w:rPr>
          <w:sz w:val="24"/>
        </w:rPr>
        <w:t>J.</w:t>
        <w:tab/>
        <w:t>Gas Transportation Contract, dated May 19, 1995, with Iroquois Gas Transmission System.</w:t>
      </w:r>
    </w:p>
    <w:p>
      <w:pPr>
        <w:pStyle w:val="Single"/>
        <w:widowControl/>
        <w:ind w:hanging="720" w:start="1440" w:end="0"/>
        <w:rPr>
          <w:sz w:val="24"/>
        </w:rPr>
      </w:pPr>
      <w:r>
        <w:rPr>
          <w:sz w:val="24"/>
        </w:rPr>
        <w:t>K.</w:t>
        <w:tab/>
        <w:t>Peaking Service and Delivery Agreement, dated October 1, 1996, with KeySpan Energy Delivery.</w:t>
      </w:r>
    </w:p>
    <w:p>
      <w:pPr>
        <w:pStyle w:val="Single"/>
        <w:widowControl/>
        <w:ind w:hanging="720" w:start="1440" w:end="0"/>
        <w:rPr>
          <w:sz w:val="24"/>
        </w:rPr>
      </w:pPr>
      <w:r>
        <w:rPr>
          <w:sz w:val="24"/>
        </w:rPr>
        <w:t>L.</w:t>
        <w:tab/>
        <w:t>Second Revised Fuel Management Agreement, dated September 25, 1996, with KeySpan Energy Trading.</w:t>
      </w:r>
    </w:p>
    <w:p>
      <w:pPr>
        <w:pStyle w:val="Single"/>
        <w:widowControl/>
        <w:ind w:hanging="720" w:start="1440" w:end="0"/>
        <w:rPr>
          <w:sz w:val="24"/>
        </w:rPr>
      </w:pPr>
      <w:r>
        <w:rPr>
          <w:sz w:val="24"/>
        </w:rPr>
        <w:t>M.</w:t>
        <w:tab/>
        <w:t>Operation and Maintenance Agreement, dated March 8, 1996, with Palmark, Inc.</w:t>
      </w:r>
    </w:p>
    <w:p>
      <w:pPr>
        <w:pStyle w:val="Single"/>
        <w:widowControl/>
        <w:ind w:hanging="720" w:start="1440" w:end="0"/>
        <w:rPr>
          <w:sz w:val="24"/>
        </w:rPr>
      </w:pPr>
      <w:r>
        <w:rPr>
          <w:sz w:val="24"/>
        </w:rPr>
        <w:t>N.</w:t>
        <w:tab/>
        <w:t>Lease Agreement, dated December 18, 1989, with Brooklyn Navy Yard Development Corporation.</w:t>
      </w:r>
    </w:p>
    <w:p>
      <w:pPr>
        <w:pStyle w:val="Single"/>
        <w:widowControl/>
        <w:ind w:hanging="720" w:start="1440" w:end="0"/>
        <w:rPr>
          <w:sz w:val="24"/>
        </w:rPr>
      </w:pPr>
      <w:r>
        <w:rPr>
          <w:sz w:val="24"/>
        </w:rPr>
        <w:t>O.</w:t>
        <w:tab/>
        <w:t>Amended and Restated Company Lease Agreement, dated December 1, 1997, with New York City Industrial Development Agency.</w:t>
      </w:r>
    </w:p>
    <w:p>
      <w:pPr>
        <w:pStyle w:val="Single"/>
        <w:widowControl/>
        <w:ind w:hanging="720" w:start="1440" w:end="0"/>
        <w:rPr>
          <w:sz w:val="24"/>
        </w:rPr>
      </w:pPr>
      <w:r>
        <w:rPr>
          <w:sz w:val="24"/>
        </w:rPr>
        <w:t>P.</w:t>
        <w:tab/>
        <w:t>Reimbursement Agreement, dated December 1, 1997, with the Bank of Montreal as agent.</w:t>
      </w:r>
    </w:p>
    <w:p>
      <w:pPr>
        <w:pStyle w:val="Single"/>
        <w:widowControl/>
        <w:ind w:hanging="0" w:end="0"/>
        <w:rPr>
          <w:b/>
          <w:bCs/>
          <w:sz w:val="24"/>
        </w:rPr>
      </w:pPr>
      <w:r>
        <w:rPr>
          <w:b/>
          <w:bCs/>
          <w:sz w:val="24"/>
        </w:rPr>
        <w:t>Alleged Defaults under the Material Contracts:</w:t>
      </w:r>
    </w:p>
    <w:p>
      <w:pPr>
        <w:pStyle w:val="Single"/>
        <w:widowControl/>
        <w:rPr>
          <w:b/>
          <w:bCs/>
          <w:sz w:val="24"/>
        </w:rPr>
      </w:pPr>
      <w:r>
        <w:rPr>
          <w:sz w:val="24"/>
          <w:u w:val="single"/>
        </w:rPr>
        <w:t>The Partnership</w:t>
      </w:r>
      <w:r>
        <w:rPr>
          <w:sz w:val="24"/>
        </w:rPr>
        <w:t>:  The Amended and Restated Company Lease Agreement states that the deductible on the All Risk Property insurance program effective June 1, 2001 provided for the Partnership through Seller cannot exceed $1 million.  However, the deductible for the Business Interruption policy is measured in days, not in dollars.  Specifically, the deductible for damages resulting from fire is 45 days, and the deductible relating to machinery losses is 60 days.</w:t>
      </w:r>
      <w:r>
        <w:br w:type="page"/>
      </w:r>
    </w:p>
    <w:p>
      <w:pPr>
        <w:pStyle w:val="SingleBlock"/>
        <w:widowControl/>
        <w:jc w:val="center"/>
        <w:rPr/>
      </w:pPr>
      <w:r>
        <w:rPr>
          <w:b/>
          <w:bCs/>
          <w:smallCaps/>
          <w:sz w:val="24"/>
        </w:rPr>
        <w:t>Schedule 2.12</w:t>
      </w:r>
      <w:r>
        <w:rPr>
          <w:b/>
          <w:bCs/>
          <w:sz w:val="24"/>
        </w:rPr>
        <w:t xml:space="preserve"> </w:t>
        <w:br/>
        <w:br/>
        <w:t>Tax Matters</w:t>
      </w:r>
    </w:p>
    <w:p>
      <w:pPr>
        <w:pStyle w:val="SingleBlock"/>
        <w:widowControl/>
        <w:ind w:hanging="720" w:start="720" w:end="0"/>
        <w:rPr>
          <w:sz w:val="24"/>
        </w:rPr>
      </w:pPr>
      <w:r>
        <w:rPr>
          <w:sz w:val="24"/>
        </w:rPr>
        <w:t>1.</w:t>
        <w:tab/>
        <w:t>The statutes of limitations has been extended for the Tax years 1986-2000 of MENY, and thus those Tax years are still open.</w:t>
      </w:r>
    </w:p>
    <w:p>
      <w:pPr>
        <w:pStyle w:val="SingleBlock"/>
        <w:widowControl/>
        <w:ind w:hanging="720" w:start="720" w:end="0"/>
        <w:rPr>
          <w:sz w:val="24"/>
        </w:rPr>
      </w:pPr>
      <w:r>
        <w:rPr>
          <w:sz w:val="24"/>
        </w:rPr>
        <w:t>2.</w:t>
        <w:tab/>
        <w:t>The statutes of limitations for the Tax years 1996-1998 of the Partnership have been extended to December 31, 2002.</w:t>
      </w:r>
      <w:r>
        <w:br w:type="page"/>
      </w:r>
    </w:p>
    <w:p>
      <w:pPr>
        <w:pStyle w:val="Normal"/>
        <w:widowControl/>
        <w:jc w:val="center"/>
        <w:rPr/>
      </w:pPr>
      <w:r>
        <w:rPr>
          <w:b/>
          <w:bCs/>
          <w:smallCaps/>
          <w:sz w:val="24"/>
        </w:rPr>
        <w:t>Schedule</w:t>
      </w:r>
      <w:r>
        <w:rPr>
          <w:b/>
          <w:bCs/>
          <w:sz w:val="24"/>
        </w:rPr>
        <w:t xml:space="preserve"> 2.13</w:t>
      </w:r>
    </w:p>
    <w:p>
      <w:pPr>
        <w:pStyle w:val="Normal"/>
        <w:widowControl/>
        <w:jc w:val="center"/>
        <w:rPr>
          <w:b/>
          <w:bCs/>
          <w:sz w:val="24"/>
        </w:rPr>
      </w:pPr>
      <w:r>
        <w:rPr>
          <w:b/>
          <w:bCs/>
          <w:sz w:val="24"/>
        </w:rPr>
      </w:r>
    </w:p>
    <w:p>
      <w:pPr>
        <w:pStyle w:val="Normal"/>
        <w:widowControl/>
        <w:jc w:val="center"/>
        <w:rPr>
          <w:sz w:val="24"/>
        </w:rPr>
      </w:pPr>
      <w:r>
        <w:rPr>
          <w:b/>
          <w:bCs/>
          <w:sz w:val="24"/>
        </w:rPr>
        <w:t>Environmental Matters</w:t>
      </w:r>
    </w:p>
    <w:p>
      <w:pPr>
        <w:pStyle w:val="Single"/>
        <w:widowControl/>
        <w:ind w:hanging="0" w:end="0"/>
        <w:rPr/>
      </w:pPr>
      <w:r>
        <w:rPr>
          <w:sz w:val="24"/>
        </w:rPr>
        <w:t>1.</w:t>
        <w:tab/>
      </w:r>
      <w:r>
        <w:rPr>
          <w:sz w:val="24"/>
          <w:u w:val="single"/>
        </w:rPr>
        <w:t>The Partnership</w:t>
      </w:r>
      <w:r>
        <w:rPr>
          <w:sz w:val="24"/>
        </w:rPr>
        <w:t xml:space="preserve">.  </w:t>
      </w:r>
    </w:p>
    <w:p>
      <w:pPr>
        <w:pStyle w:val="Single"/>
        <w:widowControl/>
        <w:ind w:hanging="720" w:start="1440" w:end="0"/>
        <w:rPr/>
      </w:pPr>
      <w:r>
        <w:rPr>
          <w:sz w:val="24"/>
        </w:rPr>
        <w:t>A.</w:t>
        <w:tab/>
      </w:r>
      <w:r>
        <w:rPr>
          <w:sz w:val="24"/>
          <w:u w:val="single"/>
        </w:rPr>
        <w:t>Notice of Violation</w:t>
      </w:r>
      <w:r>
        <w:rPr>
          <w:sz w:val="24"/>
        </w:rPr>
        <w:t>:  On May 16, 2001, the EPA informed the Partnership of its intent to impose penalties for failure to post sufficient SO2 allowances in the Facility's unit account by March 1, 2001.  The EPA is contemplating fining the Facility $48,276 for the violation.  Additionally, the Facility may be required to purchase at least eighteen tons of Year 2001 SO2 allowances and place them in the unit account.  We have yet to receive any such Notice of Violation.</w:t>
      </w:r>
    </w:p>
    <w:p>
      <w:pPr>
        <w:pStyle w:val="Single"/>
        <w:widowControl/>
        <w:ind w:hanging="0" w:start="1440" w:end="0"/>
        <w:rPr/>
      </w:pPr>
      <w:r>
        <w:rPr>
          <w:sz w:val="24"/>
        </w:rPr>
        <w:t>The reason for the SO2 shortfall was based solely on a misunderstanding of the Phase II Acid Rain Program (the "</w:t>
      </w:r>
      <w:r>
        <w:rPr>
          <w:b/>
          <w:bCs/>
          <w:sz w:val="24"/>
        </w:rPr>
        <w:t>Phase II Program</w:t>
      </w:r>
      <w:r>
        <w:rPr>
          <w:sz w:val="24"/>
        </w:rPr>
        <w:t xml:space="preserve">").  The Phase II Program requires ARP facilities to purchase SO2 allowances for the SO2 emissions generated during the previous calendar year.  ARP facilities must hold sufficient allowances in their unit accounts by the close of business on March 1st for the previous year's SO2 emissions generated.  While the Facility did not fulfill its roles and responsibilities with respect to the Phase II Program, the Facility did act in good faith upon notification by the EPA to secure the eighteen tons of SO2 allowances by the close of business on March 2nd.  The Partnership does not intend to appeal the Notice of Violation if it is received.  </w:t>
      </w:r>
      <w:r>
        <w:br w:type="page"/>
      </w:r>
    </w:p>
    <w:p>
      <w:pPr>
        <w:pStyle w:val="Normal"/>
        <w:widowControl/>
        <w:jc w:val="center"/>
        <w:rPr/>
      </w:pPr>
      <w:r>
        <w:rPr>
          <w:b/>
          <w:bCs/>
          <w:smallCaps/>
          <w:sz w:val="24"/>
        </w:rPr>
        <w:t>Schedule</w:t>
      </w:r>
      <w:r>
        <w:rPr>
          <w:b/>
          <w:bCs/>
          <w:sz w:val="24"/>
        </w:rPr>
        <w:t xml:space="preserve"> 2.16</w:t>
      </w:r>
    </w:p>
    <w:p>
      <w:pPr>
        <w:pStyle w:val="Normal"/>
        <w:widowControl/>
        <w:jc w:val="center"/>
        <w:rPr>
          <w:b/>
          <w:bCs/>
          <w:sz w:val="24"/>
        </w:rPr>
      </w:pPr>
      <w:r>
        <w:rPr>
          <w:b/>
          <w:bCs/>
          <w:sz w:val="24"/>
        </w:rPr>
      </w:r>
    </w:p>
    <w:p>
      <w:pPr>
        <w:pStyle w:val="Normal"/>
        <w:widowControl/>
        <w:jc w:val="center"/>
        <w:rPr>
          <w:sz w:val="24"/>
        </w:rPr>
      </w:pPr>
      <w:r>
        <w:rPr>
          <w:b/>
          <w:bCs/>
          <w:sz w:val="24"/>
        </w:rPr>
        <w:t xml:space="preserve">Distributions </w:t>
      </w:r>
    </w:p>
    <w:p>
      <w:pPr>
        <w:pStyle w:val="Single"/>
        <w:widowControl/>
        <w:ind w:hanging="0" w:end="0"/>
        <w:rPr/>
      </w:pPr>
      <w:r>
        <w:rPr>
          <w:sz w:val="24"/>
          <w:u w:val="single"/>
        </w:rPr>
        <w:t>The Partnership</w:t>
      </w:r>
      <w:r>
        <w:rPr>
          <w:sz w:val="24"/>
        </w:rPr>
        <w:t>:  The Partnership did not make any cash distributions to Seller or MENY in 2001.</w:t>
      </w:r>
      <w:r>
        <w:br w:type="page"/>
      </w:r>
    </w:p>
    <w:p>
      <w:pPr>
        <w:pStyle w:val="Normal"/>
        <w:widowControl/>
        <w:jc w:val="center"/>
        <w:rPr/>
      </w:pPr>
      <w:r>
        <w:rPr>
          <w:b/>
          <w:bCs/>
          <w:smallCaps/>
          <w:sz w:val="24"/>
        </w:rPr>
        <w:t>Schedule</w:t>
      </w:r>
      <w:r>
        <w:rPr>
          <w:b/>
          <w:bCs/>
          <w:sz w:val="24"/>
        </w:rPr>
        <w:t xml:space="preserve"> 2.19</w:t>
      </w:r>
    </w:p>
    <w:p>
      <w:pPr>
        <w:pStyle w:val="Normal"/>
        <w:widowControl/>
        <w:jc w:val="center"/>
        <w:rPr>
          <w:b/>
          <w:bCs/>
          <w:sz w:val="24"/>
        </w:rPr>
      </w:pPr>
      <w:r>
        <w:rPr>
          <w:b/>
          <w:bCs/>
          <w:sz w:val="24"/>
        </w:rPr>
      </w:r>
    </w:p>
    <w:p>
      <w:pPr>
        <w:pStyle w:val="Normal"/>
        <w:widowControl/>
        <w:jc w:val="center"/>
        <w:rPr>
          <w:b/>
          <w:bCs/>
          <w:sz w:val="24"/>
        </w:rPr>
      </w:pPr>
      <w:r>
        <w:rPr>
          <w:b/>
          <w:bCs/>
          <w:sz w:val="24"/>
        </w:rPr>
        <w:t>MENY Employees</w:t>
      </w:r>
    </w:p>
    <w:p>
      <w:pPr>
        <w:pStyle w:val="Normal"/>
        <w:widowControl/>
        <w:spacing w:before="240" w:after="0"/>
        <w:rPr>
          <w:sz w:val="24"/>
        </w:rPr>
      </w:pPr>
      <w:r>
        <w:rPr>
          <w:sz w:val="24"/>
        </w:rPr>
        <w:t>1.</w:t>
        <w:tab/>
        <w:t>Christopher Trabold</w:t>
        <w:br/>
        <w:t>2.</w:t>
        <w:tab/>
        <w:t>Robert Agnello</w:t>
        <w:br/>
        <w:t>3.</w:t>
        <w:tab/>
        <w:t>Adele Suarez</w:t>
      </w:r>
      <w:r>
        <w:br w:type="page"/>
      </w:r>
    </w:p>
    <w:p>
      <w:pPr>
        <w:pStyle w:val="Normal"/>
        <w:widowControl/>
        <w:jc w:val="center"/>
        <w:rPr/>
      </w:pPr>
      <w:r>
        <w:rPr>
          <w:b/>
          <w:bCs/>
          <w:smallCaps/>
          <w:sz w:val="24"/>
        </w:rPr>
        <w:t>Schedule</w:t>
      </w:r>
      <w:r>
        <w:rPr>
          <w:b/>
          <w:bCs/>
          <w:sz w:val="24"/>
        </w:rPr>
        <w:t xml:space="preserve"> 2.21</w:t>
      </w:r>
    </w:p>
    <w:p>
      <w:pPr>
        <w:pStyle w:val="Normal"/>
        <w:widowControl/>
        <w:jc w:val="center"/>
        <w:rPr>
          <w:b/>
          <w:bCs/>
          <w:sz w:val="24"/>
        </w:rPr>
      </w:pPr>
      <w:r>
        <w:rPr>
          <w:b/>
          <w:bCs/>
          <w:sz w:val="24"/>
        </w:rPr>
      </w:r>
    </w:p>
    <w:p>
      <w:pPr>
        <w:pStyle w:val="Normal"/>
        <w:widowControl/>
        <w:jc w:val="center"/>
        <w:rPr>
          <w:sz w:val="24"/>
        </w:rPr>
      </w:pPr>
      <w:r>
        <w:rPr>
          <w:b/>
          <w:bCs/>
          <w:sz w:val="24"/>
        </w:rPr>
        <w:t>Members, Contributions, Distributions, Etc.</w:t>
      </w:r>
    </w:p>
    <w:p>
      <w:pPr>
        <w:pStyle w:val="Normal"/>
        <w:widowControl/>
        <w:jc w:val="center"/>
        <w:rPr>
          <w:sz w:val="24"/>
        </w:rPr>
      </w:pPr>
      <w:r>
        <w:rPr>
          <w:sz w:val="24"/>
        </w:rPr>
      </w:r>
    </w:p>
    <w:p>
      <w:pPr>
        <w:pStyle w:val="Single"/>
        <w:widowControl/>
        <w:ind w:hanging="720" w:start="720" w:end="0"/>
        <w:rPr>
          <w:sz w:val="24"/>
        </w:rPr>
      </w:pPr>
      <w:r>
        <w:rPr>
          <w:sz w:val="24"/>
        </w:rPr>
        <w:t>1.</w:t>
        <w:tab/>
        <w:t>The Partnership has paid various invoices on behalf of Seller in connection with the transactions contemplated by the Agreement, in amount equal to approximately $2,000, which are expected to be reimbursed by Seller.</w:t>
      </w:r>
      <w:r>
        <w:br w:type="page"/>
      </w:r>
    </w:p>
    <w:p>
      <w:pPr>
        <w:pStyle w:val="Normal"/>
        <w:widowControl/>
        <w:jc w:val="center"/>
        <w:rPr/>
      </w:pPr>
      <w:r>
        <w:rPr>
          <w:b/>
          <w:bCs/>
          <w:smallCaps/>
          <w:sz w:val="24"/>
        </w:rPr>
        <w:t>Schedule</w:t>
      </w:r>
      <w:r>
        <w:rPr>
          <w:b/>
          <w:bCs/>
          <w:sz w:val="24"/>
        </w:rPr>
        <w:t xml:space="preserve"> 4.4</w:t>
      </w:r>
    </w:p>
    <w:p>
      <w:pPr>
        <w:pStyle w:val="Normal"/>
        <w:widowControl/>
        <w:jc w:val="center"/>
        <w:rPr>
          <w:b/>
          <w:bCs/>
          <w:sz w:val="24"/>
        </w:rPr>
      </w:pPr>
      <w:r>
        <w:rPr>
          <w:b/>
          <w:bCs/>
          <w:sz w:val="24"/>
        </w:rPr>
      </w:r>
    </w:p>
    <w:p>
      <w:pPr>
        <w:pStyle w:val="Normal"/>
        <w:widowControl/>
        <w:jc w:val="center"/>
        <w:rPr>
          <w:sz w:val="24"/>
        </w:rPr>
      </w:pPr>
      <w:r>
        <w:rPr>
          <w:b/>
          <w:bCs/>
          <w:sz w:val="24"/>
        </w:rPr>
        <w:t>Insurance Matters</w:t>
      </w:r>
    </w:p>
    <w:p>
      <w:pPr>
        <w:pStyle w:val="Normal"/>
        <w:widowControl/>
        <w:spacing w:before="240" w:after="0"/>
        <w:ind w:firstLine="720" w:end="0"/>
        <w:rPr>
          <w:sz w:val="24"/>
        </w:rPr>
      </w:pPr>
      <w:r>
        <w:rPr>
          <w:sz w:val="24"/>
        </w:rPr>
        <w:t>The Partnership maintains insurance coverage through the Edison International corporate program as follows:</w:t>
      </w:r>
    </w:p>
    <w:p>
      <w:pPr>
        <w:pStyle w:val="Normal"/>
        <w:widowControl/>
        <w:rPr>
          <w:sz w:val="24"/>
        </w:rPr>
      </w:pPr>
      <w:r>
        <w:rPr>
          <w:sz w:val="24"/>
        </w:rPr>
      </w:r>
    </w:p>
    <w:p>
      <w:pPr>
        <w:pStyle w:val="Normal"/>
        <w:widowControl/>
        <w:rPr>
          <w:sz w:val="24"/>
        </w:rPr>
      </w:pPr>
      <w:r>
        <w:rPr>
          <w:sz w:val="24"/>
        </w:rPr>
        <w:tab/>
        <w:t>1.</w:t>
        <w:tab/>
      </w:r>
      <w:r>
        <w:rPr>
          <w:b/>
          <w:bCs/>
          <w:sz w:val="24"/>
        </w:rPr>
        <w:t>All-Risk Property, Boiler and Machinery and Business Interruption</w:t>
      </w:r>
    </w:p>
    <w:p>
      <w:pPr>
        <w:pStyle w:val="Normal"/>
        <w:widowControl/>
        <w:rPr>
          <w:sz w:val="24"/>
        </w:rPr>
      </w:pPr>
      <w:r>
        <w:rPr>
          <w:sz w:val="24"/>
        </w:rPr>
      </w:r>
    </w:p>
    <w:p>
      <w:pPr>
        <w:pStyle w:val="Normal"/>
        <w:widowControl/>
        <w:ind w:start="2160" w:end="0"/>
        <w:rPr>
          <w:sz w:val="24"/>
        </w:rPr>
      </w:pPr>
      <w:r>
        <w:rPr>
          <w:sz w:val="24"/>
        </w:rPr>
        <w:t xml:space="preserve">Policy Period:  June 1, 2001 – May 31, 2002 </w:t>
      </w:r>
    </w:p>
    <w:p>
      <w:pPr>
        <w:pStyle w:val="Normal"/>
        <w:widowControl/>
        <w:ind w:start="2160" w:end="0"/>
        <w:rPr>
          <w:sz w:val="24"/>
        </w:rPr>
      </w:pPr>
      <w:r>
        <w:rPr>
          <w:sz w:val="24"/>
        </w:rPr>
        <w:t>Coverage on a 100% replacement cost basis</w:t>
      </w:r>
    </w:p>
    <w:p>
      <w:pPr>
        <w:pStyle w:val="Normal"/>
        <w:widowControl/>
        <w:ind w:hanging="360" w:start="2520" w:end="0"/>
        <w:rPr>
          <w:sz w:val="24"/>
        </w:rPr>
      </w:pPr>
      <w:r>
        <w:rPr>
          <w:sz w:val="24"/>
        </w:rPr>
        <w:t xml:space="preserve">Deductibles:  Property Damage $1,000,000 per occurrence and 45 day Business Interruption waiting period for Fire Peril and 60 day waiting period for Boiler Machinery Perils </w:t>
      </w:r>
    </w:p>
    <w:p>
      <w:pPr>
        <w:pStyle w:val="Normal"/>
        <w:widowControl/>
        <w:ind w:start="2160" w:end="0"/>
        <w:rPr>
          <w:sz w:val="24"/>
        </w:rPr>
      </w:pPr>
      <w:r>
        <w:rPr>
          <w:sz w:val="24"/>
        </w:rPr>
        <w:t>Insurers:  Various</w:t>
      </w:r>
    </w:p>
    <w:p>
      <w:pPr>
        <w:pStyle w:val="Normal"/>
        <w:widowControl/>
        <w:ind w:start="1440" w:end="0"/>
        <w:rPr>
          <w:sz w:val="24"/>
        </w:rPr>
      </w:pPr>
      <w:r>
        <w:rPr>
          <w:sz w:val="24"/>
        </w:rPr>
      </w:r>
    </w:p>
    <w:p>
      <w:pPr>
        <w:pStyle w:val="Normal"/>
        <w:widowControl/>
        <w:ind w:hanging="720" w:start="1440" w:end="0"/>
        <w:rPr>
          <w:sz w:val="24"/>
        </w:rPr>
      </w:pPr>
      <w:r>
        <w:rPr>
          <w:sz w:val="24"/>
        </w:rPr>
        <w:t>2.</w:t>
        <w:tab/>
      </w:r>
      <w:r>
        <w:rPr>
          <w:b/>
          <w:bCs/>
          <w:sz w:val="24"/>
        </w:rPr>
        <w:t>General Liability</w:t>
      </w:r>
    </w:p>
    <w:p>
      <w:pPr>
        <w:pStyle w:val="Normal"/>
        <w:widowControl/>
        <w:rPr>
          <w:sz w:val="24"/>
        </w:rPr>
      </w:pPr>
      <w:r>
        <w:rPr>
          <w:sz w:val="24"/>
        </w:rPr>
      </w:r>
    </w:p>
    <w:p>
      <w:pPr>
        <w:pStyle w:val="Normal"/>
        <w:widowControl/>
        <w:ind w:hanging="360" w:start="2520" w:end="0"/>
        <w:rPr>
          <w:sz w:val="24"/>
        </w:rPr>
      </w:pPr>
      <w:r>
        <w:rPr>
          <w:sz w:val="24"/>
        </w:rPr>
        <w:t xml:space="preserve">Policy Period:  July 1, 2000 – September 30, 2001 </w:t>
      </w:r>
    </w:p>
    <w:p>
      <w:pPr>
        <w:pStyle w:val="Normal"/>
        <w:widowControl/>
        <w:ind w:hanging="360" w:start="2520" w:end="0"/>
        <w:rPr>
          <w:sz w:val="24"/>
        </w:rPr>
      </w:pPr>
      <w:r>
        <w:rPr>
          <w:sz w:val="24"/>
        </w:rPr>
        <w:t>$1,000,000 per occurrence/ $2,000,000 in the aggregate</w:t>
      </w:r>
    </w:p>
    <w:p>
      <w:pPr>
        <w:pStyle w:val="Normal"/>
        <w:widowControl/>
        <w:ind w:hanging="360" w:start="2520" w:end="0"/>
        <w:rPr>
          <w:sz w:val="24"/>
        </w:rPr>
      </w:pPr>
      <w:r>
        <w:rPr>
          <w:sz w:val="24"/>
        </w:rPr>
        <w:t>$1,000,000 per occurrence and in the aggregate as respects to Products and Completed Operations</w:t>
      </w:r>
    </w:p>
    <w:p>
      <w:pPr>
        <w:pStyle w:val="Normal"/>
        <w:widowControl/>
        <w:ind w:hanging="360" w:start="2520" w:end="0"/>
        <w:rPr>
          <w:sz w:val="24"/>
        </w:rPr>
      </w:pPr>
      <w:r>
        <w:rPr>
          <w:sz w:val="24"/>
        </w:rPr>
        <w:t>Deductible:  $25,000 per occurrence</w:t>
      </w:r>
    </w:p>
    <w:p>
      <w:pPr>
        <w:pStyle w:val="Normal"/>
        <w:widowControl/>
        <w:ind w:hanging="360" w:start="2520" w:end="0"/>
        <w:rPr>
          <w:sz w:val="24"/>
        </w:rPr>
      </w:pPr>
      <w:r>
        <w:rPr>
          <w:sz w:val="24"/>
        </w:rPr>
      </w:r>
    </w:p>
    <w:p>
      <w:pPr>
        <w:pStyle w:val="Normal"/>
        <w:widowControl/>
        <w:ind w:start="720" w:end="0"/>
        <w:rPr>
          <w:sz w:val="24"/>
        </w:rPr>
      </w:pPr>
      <w:r>
        <w:rPr>
          <w:sz w:val="24"/>
        </w:rPr>
        <w:t>3.</w:t>
        <w:tab/>
      </w:r>
      <w:r>
        <w:rPr>
          <w:b/>
          <w:bCs/>
          <w:sz w:val="24"/>
        </w:rPr>
        <w:t>Automobile Liability</w:t>
      </w:r>
    </w:p>
    <w:p>
      <w:pPr>
        <w:pStyle w:val="Normal"/>
        <w:widowControl/>
        <w:rPr>
          <w:sz w:val="24"/>
        </w:rPr>
      </w:pPr>
      <w:r>
        <w:rPr>
          <w:sz w:val="24"/>
        </w:rPr>
      </w:r>
    </w:p>
    <w:p>
      <w:pPr>
        <w:pStyle w:val="Normal"/>
        <w:widowControl/>
        <w:ind w:hanging="360" w:start="2520" w:end="0"/>
        <w:rPr>
          <w:sz w:val="24"/>
        </w:rPr>
      </w:pPr>
      <w:r>
        <w:rPr>
          <w:sz w:val="24"/>
        </w:rPr>
        <w:t xml:space="preserve">Policy Period:  July 1, 2000 – September 30, 2001 </w:t>
      </w:r>
    </w:p>
    <w:p>
      <w:pPr>
        <w:pStyle w:val="Normal"/>
        <w:widowControl/>
        <w:ind w:hanging="360" w:start="2520" w:end="0"/>
        <w:rPr>
          <w:sz w:val="24"/>
        </w:rPr>
      </w:pPr>
      <w:r>
        <w:rPr>
          <w:sz w:val="24"/>
        </w:rPr>
        <w:t xml:space="preserve">$1,000,000 per accident </w:t>
      </w:r>
    </w:p>
    <w:p>
      <w:pPr>
        <w:pStyle w:val="Normal"/>
        <w:widowControl/>
        <w:ind w:hanging="360" w:start="2520" w:end="0"/>
        <w:rPr>
          <w:sz w:val="24"/>
        </w:rPr>
      </w:pPr>
      <w:r>
        <w:rPr>
          <w:sz w:val="24"/>
        </w:rPr>
        <w:t>Comprehensive and Collision coverage with $500 deductible</w:t>
      </w:r>
    </w:p>
    <w:p>
      <w:pPr>
        <w:pStyle w:val="Normal"/>
        <w:widowControl/>
        <w:ind w:hanging="360" w:start="2520" w:end="0"/>
        <w:rPr>
          <w:sz w:val="24"/>
        </w:rPr>
      </w:pPr>
      <w:r>
        <w:rPr>
          <w:sz w:val="24"/>
        </w:rPr>
      </w:r>
    </w:p>
    <w:p>
      <w:pPr>
        <w:pStyle w:val="Normal"/>
        <w:widowControl/>
        <w:ind w:start="720" w:end="0"/>
        <w:rPr>
          <w:sz w:val="24"/>
        </w:rPr>
      </w:pPr>
      <w:r>
        <w:rPr>
          <w:sz w:val="24"/>
        </w:rPr>
        <w:t>4.</w:t>
        <w:tab/>
      </w:r>
      <w:r>
        <w:rPr>
          <w:b/>
          <w:bCs/>
          <w:sz w:val="24"/>
        </w:rPr>
        <w:t>Excess Liability</w:t>
      </w:r>
    </w:p>
    <w:p>
      <w:pPr>
        <w:pStyle w:val="Normal"/>
        <w:widowControl/>
        <w:rPr>
          <w:sz w:val="24"/>
        </w:rPr>
      </w:pPr>
      <w:r>
        <w:rPr>
          <w:sz w:val="24"/>
        </w:rPr>
      </w:r>
    </w:p>
    <w:p>
      <w:pPr>
        <w:pStyle w:val="Normal"/>
        <w:widowControl/>
        <w:ind w:hanging="360" w:start="2520" w:end="0"/>
        <w:rPr>
          <w:sz w:val="24"/>
        </w:rPr>
      </w:pPr>
      <w:r>
        <w:rPr>
          <w:sz w:val="24"/>
        </w:rPr>
        <w:t>Policy Period:  July 1, 2000 – June 30, 2003</w:t>
      </w:r>
    </w:p>
    <w:p>
      <w:pPr>
        <w:pStyle w:val="Normal"/>
        <w:widowControl/>
        <w:ind w:hanging="360" w:start="2520" w:end="0"/>
        <w:rPr>
          <w:sz w:val="24"/>
        </w:rPr>
      </w:pPr>
      <w:r>
        <w:rPr>
          <w:sz w:val="24"/>
        </w:rPr>
        <w:t>$49,000,000 per occurrence on a claims-made basis</w:t>
      </w:r>
    </w:p>
    <w:p>
      <w:pPr>
        <w:pStyle w:val="Normal"/>
        <w:widowControl/>
        <w:ind w:firstLine="720" w:end="0"/>
        <w:rPr>
          <w:sz w:val="24"/>
        </w:rPr>
      </w:pPr>
      <w:r>
        <w:rPr>
          <w:sz w:val="24"/>
        </w:rPr>
      </w:r>
    </w:p>
    <w:p>
      <w:pPr>
        <w:pStyle w:val="Normal"/>
        <w:widowControl/>
        <w:ind w:firstLine="720" w:end="0"/>
        <w:rPr>
          <w:sz w:val="24"/>
        </w:rPr>
      </w:pPr>
      <w:r>
        <w:rPr>
          <w:sz w:val="24"/>
        </w:rPr>
        <w:t>5.</w:t>
        <w:tab/>
      </w:r>
      <w:r>
        <w:rPr>
          <w:b/>
          <w:bCs/>
          <w:sz w:val="24"/>
        </w:rPr>
        <w:t>Environmental Impairment Liability</w:t>
      </w:r>
    </w:p>
    <w:p>
      <w:pPr>
        <w:pStyle w:val="Normal"/>
        <w:widowControl/>
        <w:rPr>
          <w:sz w:val="24"/>
        </w:rPr>
      </w:pPr>
      <w:r>
        <w:rPr>
          <w:sz w:val="24"/>
        </w:rPr>
      </w:r>
    </w:p>
    <w:p>
      <w:pPr>
        <w:pStyle w:val="Normal"/>
        <w:widowControl/>
        <w:ind w:hanging="360" w:start="2520" w:end="0"/>
        <w:rPr>
          <w:sz w:val="24"/>
        </w:rPr>
      </w:pPr>
      <w:r>
        <w:rPr>
          <w:sz w:val="24"/>
        </w:rPr>
        <w:t>Policy Period:  December 1, 2000 – November 30, 2001</w:t>
      </w:r>
    </w:p>
    <w:p>
      <w:pPr>
        <w:pStyle w:val="Normal"/>
        <w:widowControl/>
        <w:ind w:hanging="360" w:start="2520" w:end="0"/>
        <w:rPr>
          <w:sz w:val="24"/>
        </w:rPr>
      </w:pPr>
      <w:r>
        <w:rPr>
          <w:sz w:val="24"/>
        </w:rPr>
        <w:t xml:space="preserve">Coverage:  </w:t>
      </w:r>
    </w:p>
    <w:p>
      <w:pPr>
        <w:pStyle w:val="Normal"/>
        <w:widowControl/>
        <w:ind w:start="2520" w:end="0"/>
        <w:rPr>
          <w:sz w:val="24"/>
        </w:rPr>
      </w:pPr>
      <w:r>
        <w:rPr>
          <w:sz w:val="24"/>
        </w:rPr>
        <w:t xml:space="preserve">A: on-site clean-up with respect to pre-existing conditions; </w:t>
      </w:r>
    </w:p>
    <w:p>
      <w:pPr>
        <w:pStyle w:val="Normal"/>
        <w:widowControl/>
        <w:ind w:start="2520" w:end="0"/>
        <w:rPr>
          <w:sz w:val="24"/>
        </w:rPr>
      </w:pPr>
      <w:r>
        <w:rPr>
          <w:sz w:val="24"/>
        </w:rPr>
        <w:t xml:space="preserve">B: on-site clean-up of new conditions; </w:t>
        <w:br/>
        <w:t>D: third party off-site clean-up with respect to pre-existing conditions; and</w:t>
      </w:r>
    </w:p>
    <w:p>
      <w:pPr>
        <w:pStyle w:val="Normal"/>
        <w:widowControl/>
        <w:ind w:start="2520" w:end="0"/>
        <w:rPr>
          <w:sz w:val="24"/>
        </w:rPr>
      </w:pPr>
      <w:r>
        <w:rPr>
          <w:sz w:val="24"/>
        </w:rPr>
        <w:t>E: third party off-site clean-up of new conditions</w:t>
      </w:r>
    </w:p>
    <w:p>
      <w:pPr>
        <w:pStyle w:val="Normal"/>
        <w:widowControl/>
        <w:ind w:hanging="360" w:start="2520" w:end="0"/>
        <w:rPr>
          <w:sz w:val="24"/>
        </w:rPr>
      </w:pPr>
      <w:r>
        <w:rPr>
          <w:sz w:val="24"/>
        </w:rPr>
      </w:r>
    </w:p>
    <w:p>
      <w:pPr>
        <w:pStyle w:val="Normal"/>
        <w:widowControl/>
        <w:ind w:hanging="360" w:start="2520" w:end="0"/>
        <w:rPr>
          <w:sz w:val="24"/>
        </w:rPr>
      </w:pPr>
      <w:r>
        <w:rPr>
          <w:sz w:val="24"/>
        </w:rPr>
        <w:t>$25,000,000 per occurrence and $25,000,000 total all losses, claims made basis</w:t>
      </w:r>
    </w:p>
    <w:p>
      <w:pPr>
        <w:pStyle w:val="Normal"/>
        <w:widowControl/>
        <w:ind w:hanging="360" w:start="2520" w:end="0"/>
        <w:rPr>
          <w:sz w:val="24"/>
        </w:rPr>
      </w:pPr>
      <w:r>
        <w:rPr>
          <w:sz w:val="24"/>
        </w:rPr>
        <w:t xml:space="preserve">Self-Insured Retention:  $1,000,000 </w:t>
      </w:r>
    </w:p>
    <w:p>
      <w:pPr>
        <w:pStyle w:val="Normal"/>
        <w:widowControl/>
        <w:ind w:hanging="360" w:start="2520" w:end="0"/>
        <w:rPr>
          <w:sz w:val="24"/>
        </w:rPr>
      </w:pPr>
      <w:r>
        <w:rPr>
          <w:sz w:val="24"/>
        </w:rPr>
      </w:r>
    </w:p>
    <w:p>
      <w:pPr>
        <w:pStyle w:val="Normal"/>
        <w:widowControl/>
        <w:ind w:start="720" w:end="0"/>
        <w:rPr>
          <w:sz w:val="24"/>
        </w:rPr>
      </w:pPr>
      <w:r>
        <w:rPr>
          <w:sz w:val="24"/>
        </w:rPr>
        <w:t>6.</w:t>
        <w:tab/>
      </w:r>
      <w:r>
        <w:rPr>
          <w:b/>
          <w:bCs/>
          <w:sz w:val="24"/>
        </w:rPr>
        <w:t>Charterer’s Liability</w:t>
      </w:r>
    </w:p>
    <w:p>
      <w:pPr>
        <w:pStyle w:val="Normal"/>
        <w:widowControl/>
        <w:rPr>
          <w:sz w:val="24"/>
        </w:rPr>
      </w:pPr>
      <w:r>
        <w:rPr>
          <w:sz w:val="24"/>
        </w:rPr>
      </w:r>
    </w:p>
    <w:p>
      <w:pPr>
        <w:pStyle w:val="Normal"/>
        <w:widowControl/>
        <w:ind w:firstLine="2160" w:end="0"/>
        <w:rPr>
          <w:sz w:val="24"/>
        </w:rPr>
      </w:pPr>
      <w:r>
        <w:rPr>
          <w:sz w:val="24"/>
        </w:rPr>
        <w:t>Policy Period:  October 30, 2000 – October 30, 2001</w:t>
      </w:r>
    </w:p>
    <w:p>
      <w:pPr>
        <w:pStyle w:val="Normal"/>
        <w:widowControl/>
        <w:ind w:firstLine="2160" w:end="0"/>
        <w:rPr>
          <w:sz w:val="24"/>
        </w:rPr>
      </w:pPr>
      <w:r>
        <w:rPr>
          <w:sz w:val="24"/>
        </w:rPr>
        <w:t>$5,000,000 per occurrence</w:t>
      </w:r>
      <w:r>
        <w:br w:type="page"/>
      </w:r>
    </w:p>
    <w:p>
      <w:pPr>
        <w:pStyle w:val="Normal"/>
        <w:widowControl/>
        <w:jc w:val="center"/>
        <w:rPr/>
      </w:pPr>
      <w:r>
        <w:rPr>
          <w:b/>
          <w:bCs/>
          <w:smallCaps/>
          <w:sz w:val="24"/>
        </w:rPr>
        <w:t>Schedule</w:t>
      </w:r>
      <w:r>
        <w:rPr>
          <w:b/>
          <w:bCs/>
          <w:sz w:val="24"/>
        </w:rPr>
        <w:t xml:space="preserve"> 4.8</w:t>
      </w:r>
    </w:p>
    <w:p>
      <w:pPr>
        <w:pStyle w:val="Normal"/>
        <w:widowControl/>
        <w:jc w:val="center"/>
        <w:rPr>
          <w:b/>
          <w:bCs/>
          <w:sz w:val="24"/>
        </w:rPr>
      </w:pPr>
      <w:r>
        <w:rPr>
          <w:b/>
          <w:bCs/>
          <w:sz w:val="24"/>
        </w:rPr>
      </w:r>
    </w:p>
    <w:p>
      <w:pPr>
        <w:pStyle w:val="Normal"/>
        <w:widowControl/>
        <w:jc w:val="center"/>
        <w:rPr>
          <w:b/>
          <w:bCs/>
          <w:sz w:val="24"/>
        </w:rPr>
      </w:pPr>
      <w:r>
        <w:rPr>
          <w:b/>
          <w:bCs/>
          <w:sz w:val="24"/>
        </w:rPr>
        <w:t>Allocation of Purchase Price</w:t>
      </w:r>
    </w:p>
    <w:p>
      <w:pPr>
        <w:pStyle w:val="Normal"/>
        <w:widowControl/>
        <w:jc w:val="center"/>
        <w:rPr>
          <w:b/>
          <w:bCs/>
          <w:sz w:val="24"/>
        </w:rPr>
      </w:pPr>
      <w:r>
        <w:rPr>
          <w:b/>
          <w:bCs/>
          <w:sz w:val="24"/>
        </w:rPr>
      </w:r>
    </w:p>
    <w:p>
      <w:pPr>
        <w:pStyle w:val="Normal"/>
        <w:widowControl/>
        <w:ind w:firstLine="720" w:end="0"/>
        <w:rPr>
          <w:i/>
          <w:i/>
          <w:iCs/>
          <w:sz w:val="24"/>
        </w:rPr>
      </w:pPr>
      <w:r>
        <w:rPr>
          <w:i/>
          <w:iCs/>
          <w:sz w:val="24"/>
        </w:rPr>
        <w:t>[to be prepared by Buyer]</w:t>
      </w:r>
      <w:r>
        <w:br w:type="page"/>
      </w:r>
    </w:p>
    <w:p>
      <w:pPr>
        <w:pStyle w:val="Normal"/>
        <w:widowControl/>
        <w:jc w:val="center"/>
        <w:rPr/>
      </w:pPr>
      <w:r>
        <w:rPr>
          <w:b/>
          <w:bCs/>
          <w:smallCaps/>
          <w:sz w:val="24"/>
        </w:rPr>
        <w:t>Schedule</w:t>
      </w:r>
      <w:r>
        <w:rPr>
          <w:b/>
          <w:bCs/>
          <w:sz w:val="24"/>
        </w:rPr>
        <w:t xml:space="preserve"> 8.1</w:t>
      </w:r>
    </w:p>
    <w:p>
      <w:pPr>
        <w:pStyle w:val="Normal"/>
        <w:widowControl/>
        <w:jc w:val="center"/>
        <w:rPr>
          <w:b/>
          <w:bCs/>
          <w:sz w:val="24"/>
        </w:rPr>
      </w:pPr>
      <w:r>
        <w:rPr>
          <w:b/>
          <w:bCs/>
          <w:sz w:val="24"/>
        </w:rPr>
      </w:r>
    </w:p>
    <w:p>
      <w:pPr>
        <w:pStyle w:val="Normal"/>
        <w:widowControl/>
        <w:jc w:val="center"/>
        <w:rPr>
          <w:b/>
          <w:bCs/>
          <w:sz w:val="24"/>
        </w:rPr>
      </w:pPr>
      <w:r>
        <w:rPr>
          <w:b/>
          <w:bCs/>
          <w:sz w:val="24"/>
        </w:rPr>
        <w:t>Definition of "Knowledge" or "Known"</w:t>
      </w:r>
    </w:p>
    <w:p>
      <w:pPr>
        <w:pStyle w:val="Normal"/>
        <w:widowControl/>
        <w:jc w:val="center"/>
        <w:rPr>
          <w:b/>
          <w:bCs/>
          <w:sz w:val="24"/>
        </w:rPr>
      </w:pPr>
      <w:r>
        <w:rPr>
          <w:b/>
          <w:bCs/>
          <w:sz w:val="24"/>
        </w:rPr>
      </w:r>
    </w:p>
    <w:p>
      <w:pPr>
        <w:pStyle w:val="Single"/>
        <w:widowControl/>
        <w:ind w:hanging="720" w:start="720" w:end="0"/>
        <w:rPr/>
      </w:pPr>
      <w:r>
        <w:rPr>
          <w:sz w:val="24"/>
        </w:rPr>
        <w:t>1.</w:t>
        <w:tab/>
      </w:r>
      <w:r>
        <w:rPr>
          <w:sz w:val="24"/>
          <w:u w:val="single"/>
        </w:rPr>
        <w:t xml:space="preserve">Persons deemed to have </w:t>
      </w:r>
      <w:r>
        <w:rPr>
          <w:strike/>
          <w:sz w:val="24"/>
          <w:u w:val="single"/>
        </w:rPr>
        <w:t>"knowledge</w:t>
      </w:r>
      <w:r>
        <w:rPr>
          <w:sz w:val="24"/>
          <w:u w:val="double"/>
        </w:rPr>
        <w:t>"Knowledge</w:t>
      </w:r>
      <w:r>
        <w:rPr>
          <w:sz w:val="24"/>
          <w:u w:val="single"/>
        </w:rPr>
        <w:t>" with respect to Seller</w:t>
      </w:r>
      <w:r>
        <w:rPr>
          <w:sz w:val="24"/>
        </w:rPr>
        <w:t>:</w:t>
      </w:r>
    </w:p>
    <w:p>
      <w:pPr>
        <w:pStyle w:val="Normal"/>
        <w:widowControl/>
        <w:ind w:start="720" w:end="0"/>
        <w:rPr>
          <w:sz w:val="24"/>
        </w:rPr>
      </w:pPr>
      <w:r>
        <w:rPr>
          <w:sz w:val="24"/>
        </w:rPr>
      </w:r>
    </w:p>
    <w:p>
      <w:pPr>
        <w:pStyle w:val="Normal"/>
        <w:widowControl/>
        <w:ind w:start="720" w:end="0"/>
        <w:rPr>
          <w:sz w:val="24"/>
        </w:rPr>
      </w:pPr>
      <w:r>
        <w:rPr>
          <w:sz w:val="24"/>
        </w:rPr>
        <w:t>Erik Nelson</w:t>
      </w:r>
    </w:p>
    <w:p>
      <w:pPr>
        <w:pStyle w:val="Normal"/>
        <w:widowControl/>
        <w:ind w:start="720" w:end="0"/>
        <w:rPr>
          <w:sz w:val="24"/>
        </w:rPr>
      </w:pPr>
      <w:r>
        <w:rPr>
          <w:sz w:val="24"/>
        </w:rPr>
        <w:t>Fred McCluskey</w:t>
        <w:br/>
        <w:t>Maria Rigatti</w:t>
        <w:br/>
        <w:t>Georgia Nelson</w:t>
        <w:br/>
        <w:t>Christopher Trabold</w:t>
        <w:br/>
        <w:t>Zamin Mustafa</w:t>
      </w:r>
    </w:p>
    <w:p>
      <w:pPr>
        <w:pStyle w:val="Single"/>
        <w:widowControl/>
        <w:ind w:hanging="720" w:start="720" w:end="0"/>
        <w:rPr/>
      </w:pPr>
      <w:r>
        <w:rPr>
          <w:sz w:val="24"/>
        </w:rPr>
        <w:t>2.</w:t>
        <w:tab/>
      </w:r>
      <w:r>
        <w:rPr>
          <w:sz w:val="24"/>
          <w:u w:val="single"/>
        </w:rPr>
        <w:t xml:space="preserve">Persons deemed to have </w:t>
      </w:r>
      <w:r>
        <w:rPr>
          <w:strike/>
          <w:sz w:val="24"/>
          <w:u w:val="single"/>
        </w:rPr>
        <w:t>"knowledge</w:t>
      </w:r>
      <w:r>
        <w:rPr>
          <w:sz w:val="24"/>
          <w:u w:val="double"/>
        </w:rPr>
        <w:t>"Knowledge</w:t>
      </w:r>
      <w:r>
        <w:rPr>
          <w:sz w:val="24"/>
          <w:u w:val="single"/>
        </w:rPr>
        <w:t>" with respect to Buyer:</w:t>
      </w:r>
      <w:r>
        <w:rPr>
          <w:sz w:val="24"/>
        </w:rPr>
        <w:t xml:space="preserve">  </w:t>
      </w:r>
    </w:p>
    <w:p>
      <w:pPr>
        <w:pStyle w:val="Normal"/>
        <w:widowControl/>
        <w:rPr>
          <w:sz w:val="24"/>
        </w:rPr>
      </w:pPr>
      <w:r>
        <w:rPr>
          <w:sz w:val="24"/>
        </w:rPr>
      </w:r>
    </w:p>
    <w:p>
      <w:pPr>
        <w:pStyle w:val="Normal"/>
        <w:widowControl/>
        <w:ind w:firstLine="720" w:end="0"/>
        <w:rPr>
          <w:sz w:val="24"/>
        </w:rPr>
      </w:pPr>
      <w:r>
        <w:rPr>
          <w:sz w:val="24"/>
        </w:rPr>
        <w:t>Bill Curra</w:t>
      </w:r>
    </w:p>
    <w:p>
      <w:pPr>
        <w:pStyle w:val="Normal"/>
        <w:widowControl/>
        <w:ind w:firstLine="720" w:end="0"/>
        <w:rPr>
          <w:sz w:val="24"/>
        </w:rPr>
      </w:pPr>
      <w:r>
        <w:rPr>
          <w:sz w:val="24"/>
        </w:rPr>
        <w:t>Angela Davis</w:t>
      </w:r>
    </w:p>
    <w:p>
      <w:pPr>
        <w:pStyle w:val="Normal"/>
        <w:widowControl/>
        <w:ind w:firstLine="720" w:end="0"/>
        <w:rPr>
          <w:sz w:val="24"/>
        </w:rPr>
      </w:pPr>
      <w:r>
        <w:rPr>
          <w:sz w:val="24"/>
        </w:rPr>
        <w:t>David Duran</w:t>
      </w:r>
    </w:p>
    <w:p>
      <w:pPr>
        <w:pStyle w:val="Normal"/>
        <w:widowControl/>
        <w:ind w:firstLine="720" w:end="0"/>
        <w:rPr>
          <w:sz w:val="24"/>
        </w:rPr>
      </w:pPr>
      <w:r>
        <w:rPr>
          <w:sz w:val="24"/>
        </w:rPr>
        <w:t>Bill Kenney</w:t>
      </w:r>
    </w:p>
    <w:p>
      <w:pPr>
        <w:pStyle w:val="Normal"/>
        <w:widowControl/>
        <w:ind w:firstLine="720" w:end="0"/>
        <w:rPr>
          <w:sz w:val="24"/>
        </w:rPr>
      </w:pPr>
      <w:r>
        <w:rPr>
          <w:sz w:val="24"/>
        </w:rPr>
        <w:t>David Marks</w:t>
      </w:r>
    </w:p>
    <w:p>
      <w:pPr>
        <w:pStyle w:val="Normal"/>
        <w:widowControl/>
        <w:ind w:firstLine="720" w:end="0"/>
        <w:rPr>
          <w:sz w:val="24"/>
        </w:rPr>
      </w:pPr>
      <w:r>
        <w:rPr>
          <w:sz w:val="24"/>
        </w:rPr>
        <w:t>Karl Masani</w:t>
      </w:r>
    </w:p>
    <w:p>
      <w:pPr>
        <w:pStyle w:val="Normal"/>
        <w:widowControl/>
        <w:ind w:firstLine="720" w:end="0"/>
        <w:rPr>
          <w:sz w:val="24"/>
        </w:rPr>
      </w:pPr>
      <w:r>
        <w:rPr>
          <w:sz w:val="24"/>
        </w:rPr>
        <w:t>Gregory Martin</w:t>
      </w:r>
    </w:p>
    <w:p>
      <w:pPr>
        <w:pStyle w:val="Normal"/>
        <w:widowControl/>
        <w:ind w:firstLine="720" w:end="0"/>
        <w:rPr>
          <w:sz w:val="24"/>
        </w:rPr>
      </w:pPr>
      <w:r>
        <w:rPr>
          <w:sz w:val="24"/>
        </w:rPr>
        <w:t>Don Miller</w:t>
      </w:r>
    </w:p>
    <w:p>
      <w:pPr>
        <w:pStyle w:val="Normal"/>
        <w:widowControl/>
        <w:ind w:firstLine="720" w:end="0"/>
        <w:rPr>
          <w:sz w:val="24"/>
        </w:rPr>
      </w:pPr>
      <w:r>
        <w:rPr>
          <w:sz w:val="24"/>
        </w:rPr>
        <w:t>Stuart Zisman</w:t>
      </w:r>
    </w:p>
    <w:p>
      <w:pPr>
        <w:pStyle w:val="Single"/>
        <w:widowControl/>
        <w:ind w:hanging="720" w:start="720" w:end="0"/>
        <w:rPr>
          <w:sz w:val="24"/>
        </w:rPr>
      </w:pPr>
      <w:r>
        <w:rPr>
          <w:sz w:val="24"/>
        </w:rPr>
      </w:r>
    </w:p>
    <w:p>
      <w:pPr>
        <w:pStyle w:val="Single"/>
        <w:widowControl/>
        <w:ind w:hanging="720" w:start="720" w:end="0"/>
        <w:rPr>
          <w:sz w:val="24"/>
        </w:rPr>
      </w:pPr>
      <w:r>
        <w:rPr>
          <w:strike/>
          <w:sz w:val="24"/>
        </w:rPr>
        <w:t>30235448_4.DOC</w:t>
      </w:r>
    </w:p>
    <w:p>
      <w:pPr>
        <w:pStyle w:val="Normal"/>
        <w:widowControl/>
        <w:spacing w:before="240" w:after="0"/>
        <w:rPr>
          <w:rStyle w:val="zYField"/>
          <w:color w:val="000000"/>
          <w:sz w:val="24"/>
          <w:szCs w:val="24"/>
        </w:rPr>
      </w:pPr>
      <w:r>
        <w:rPr>
          <w:rStyle w:val="zYField"/>
          <w:sz w:val="24"/>
        </w:rPr>
        <w:fldChar w:fldCharType="begin"/>
      </w:r>
      <w:r>
        <w:rPr>
          <w:rStyle w:val="zYField"/>
          <w:sz w:val="24"/>
        </w:rPr>
        <w:instrText xml:space="preserve"> FILENAME </w:instrText>
      </w:r>
      <w:r>
        <w:rPr>
          <w:rStyle w:val="zYField"/>
          <w:sz w:val="24"/>
        </w:rPr>
        <w:fldChar w:fldCharType="separate"/>
      </w:r>
      <w:r>
        <w:rPr>
          <w:rStyle w:val="zYField"/>
          <w:sz w:val="24"/>
        </w:rPr>
        <w:t>SPA_disclosure_schedules_072901.doc</w:t>
      </w:r>
      <w:r>
        <w:rPr>
          <w:rStyle w:val="zYField"/>
          <w:sz w:val="24"/>
        </w:rPr>
        <w:fldChar w:fldCharType="end"/>
      </w:r>
      <w:r>
        <w:rPr>
          <w:sz w:val="24"/>
        </w:rPr>
        <w:t xml:space="preserve"> </w:t>
      </w:r>
    </w:p>
    <w:p>
      <w:pPr>
        <w:pStyle w:val="Normal"/>
        <w:widowControl/>
        <w:spacing w:before="240" w:after="0"/>
        <w:rPr>
          <w:rStyle w:val="zYField"/>
          <w:color w:val="000000"/>
          <w:sz w:val="24"/>
          <w:szCs w:val="24"/>
        </w:rPr>
      </w:pPr>
      <w:r>
        <w:rPr/>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 COMPARISON OF HEADERS ------------------</w:t>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-HEADER 1-</w:t>
      </w:r>
    </w:p>
    <w:p>
      <w:pPr>
        <w:pStyle w:val="Normal"/>
        <w:widowControl/>
        <w:spacing w:before="240" w:after="0"/>
        <w:rPr>
          <w:rStyle w:val="zYField"/>
          <w:color w:val="000000"/>
          <w:sz w:val="24"/>
          <w:szCs w:val="24"/>
        </w:rPr>
      </w:pPr>
      <w:r>
        <w:rPr/>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-HEADER 2-</w:t>
      </w:r>
    </w:p>
    <w:p>
      <w:pPr>
        <w:pStyle w:val="Normal"/>
        <w:widowControl/>
        <w:spacing w:before="240" w:after="0"/>
        <w:rPr/>
      </w:pPr>
      <w:r>
        <w:rPr>
          <w:rStyle w:val="zYField"/>
          <w:color w:val="000000"/>
          <w:sz w:val="24"/>
          <w:szCs w:val="24"/>
        </w:rPr>
        <w:t>Header Discontinued</w:t>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-HEADER 3-</w:t>
      </w:r>
    </w:p>
    <w:p>
      <w:pPr>
        <w:pStyle w:val="Normal"/>
        <w:widowControl/>
        <w:spacing w:before="240" w:after="0"/>
        <w:rPr/>
      </w:pPr>
      <w:r>
        <w:rPr>
          <w:rStyle w:val="zYField"/>
          <w:color w:val="000000"/>
          <w:sz w:val="24"/>
          <w:szCs w:val="24"/>
        </w:rPr>
        <w:t>Header Discontinued</w:t>
      </w:r>
    </w:p>
    <w:p>
      <w:pPr>
        <w:pStyle w:val="Normal"/>
        <w:widowControl/>
        <w:spacing w:before="240" w:after="0"/>
        <w:rPr>
          <w:rStyle w:val="zYField"/>
          <w:color w:val="000000"/>
          <w:sz w:val="24"/>
          <w:szCs w:val="24"/>
        </w:rPr>
      </w:pPr>
      <w:r>
        <w:rPr/>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 COMPARISON OF FOOTERS ------------------</w:t>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-FOOTER 1-</w:t>
      </w:r>
    </w:p>
    <w:p>
      <w:pPr>
        <w:pStyle w:val="Normal"/>
        <w:widowControl/>
        <w:spacing w:before="240" w:after="0"/>
        <w:rPr>
          <w:rStyle w:val="zYField"/>
          <w:color w:val="000000"/>
          <w:sz w:val="24"/>
          <w:szCs w:val="24"/>
        </w:rPr>
      </w:pPr>
      <w:r>
        <w:rPr/>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-FOOTER 2-</w:t>
      </w:r>
    </w:p>
    <w:p>
      <w:pPr>
        <w:pStyle w:val="Normal"/>
        <w:widowControl/>
        <w:spacing w:before="240" w:after="0"/>
        <w:rPr/>
      </w:pPr>
      <w:r>
        <w:rPr>
          <w:rStyle w:val="zYField"/>
          <w:color w:val="000000"/>
          <w:sz w:val="24"/>
          <w:szCs w:val="24"/>
        </w:rPr>
        <w:t>30235448_4.DOC</w:t>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-FOOTER 3-</w:t>
      </w:r>
    </w:p>
    <w:p>
      <w:pPr>
        <w:pStyle w:val="Normal"/>
        <w:widowControl/>
        <w:spacing w:before="240" w:after="0"/>
        <w:rPr/>
      </w:pPr>
      <w:r>
        <w:rPr>
          <w:rStyle w:val="zYField"/>
          <w:color w:val="000000"/>
          <w:sz w:val="24"/>
          <w:szCs w:val="24"/>
        </w:rPr>
        <w:t>30235448_4.DOC</w:t>
      </w:r>
    </w:p>
    <w:p>
      <w:pPr>
        <w:pStyle w:val="Normal"/>
        <w:widowControl/>
        <w:spacing w:before="240" w:after="0"/>
        <w:rPr/>
      </w:pPr>
      <w:r>
        <w:rPr>
          <w:rStyle w:val="zYField"/>
          <w:color w:val="000000"/>
          <w:sz w:val="24"/>
          <w:szCs w:val="24"/>
        </w:rPr>
        <w:t>S</w:t>
      </w:r>
    </w:p>
    <w:p>
      <w:pPr>
        <w:pStyle w:val="Normal"/>
        <w:widowControl/>
        <w:spacing w:before="240" w:after="0"/>
        <w:rPr>
          <w:rStyle w:val="zYField"/>
          <w:color w:val="000000"/>
          <w:sz w:val="24"/>
          <w:szCs w:val="24"/>
        </w:rPr>
      </w:pPr>
      <w:r>
        <w:rPr/>
      </w:r>
      <w:r>
        <w:br w:type="page"/>
      </w:r>
    </w:p>
    <w:p>
      <w:pPr>
        <w:pStyle w:val="Normal"/>
        <w:widowControl/>
        <w:spacing w:before="240" w:after="0"/>
        <w:rPr/>
      </w:pPr>
      <w:r>
        <w:rPr>
          <w:rStyle w:val="zYField"/>
          <w:color w:val="000000"/>
          <w:sz w:val="24"/>
          <w:szCs w:val="24"/>
        </w:rPr>
        <w:t xml:space="preserve">This redlined draft, generated by CompareRite (TM) - The Instant Redliner, shows the differences between - </w:t>
      </w:r>
    </w:p>
    <w:p>
      <w:pPr>
        <w:pStyle w:val="Normal"/>
        <w:widowControl/>
        <w:spacing w:before="240" w:after="0"/>
        <w:rPr/>
      </w:pPr>
      <w:r>
        <w:rPr>
          <w:rStyle w:val="zYField"/>
          <w:color w:val="000000"/>
          <w:sz w:val="24"/>
          <w:szCs w:val="24"/>
        </w:rPr>
        <w:t>original document   : C:\DATA\COMPARE\~GDD1.TMP</w:t>
      </w:r>
    </w:p>
    <w:p>
      <w:pPr>
        <w:pStyle w:val="Normal"/>
        <w:widowControl/>
        <w:spacing w:before="240" w:after="0"/>
        <w:rPr/>
      </w:pPr>
      <w:r>
        <w:rPr>
          <w:rStyle w:val="zYField"/>
          <w:color w:val="000000"/>
          <w:sz w:val="24"/>
          <w:szCs w:val="24"/>
        </w:rPr>
        <w:t>and revised document: C:\DATA\COMPARE\~GDD2.TMP</w:t>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CompareRite found   14 change(s) in the text</w:t>
      </w:r>
    </w:p>
    <w:p>
      <w:pPr>
        <w:pStyle w:val="Normal"/>
        <w:widowControl/>
        <w:spacing w:before="240" w:after="0"/>
        <w:rPr/>
      </w:pPr>
      <w:r>
        <w:rPr>
          <w:rStyle w:val="zYField"/>
          <w:color w:val="000000"/>
          <w:sz w:val="24"/>
          <w:szCs w:val="24"/>
        </w:rPr>
        <w:t>CompareRite found    0 change(s) in the notes</w:t>
      </w:r>
    </w:p>
    <w:p>
      <w:pPr>
        <w:pStyle w:val="Normal"/>
        <w:widowControl/>
        <w:spacing w:before="240" w:after="0"/>
        <w:rPr>
          <w:rStyle w:val="zYField"/>
          <w:color w:val="000000"/>
          <w:sz w:val="24"/>
          <w:szCs w:val="24"/>
        </w:rPr>
      </w:pPr>
      <w:r>
        <w:rPr/>
      </w:r>
    </w:p>
    <w:p>
      <w:pPr>
        <w:pStyle w:val="Normal"/>
        <w:widowControl/>
        <w:spacing w:before="240" w:after="0"/>
        <w:rPr/>
      </w:pPr>
      <w:r>
        <w:rPr>
          <w:rStyle w:val="zYField"/>
          <w:color w:val="000000"/>
          <w:sz w:val="24"/>
          <w:szCs w:val="24"/>
        </w:rPr>
        <w:t xml:space="preserve">Deletions appear as Overstrike text </w:t>
      </w:r>
    </w:p>
    <w:p>
      <w:pPr>
        <w:pStyle w:val="Normal"/>
        <w:rPr/>
      </w:pPr>
      <w:r>
        <w:rPr>
          <w:rStyle w:val="zYField"/>
          <w:color w:val="000000"/>
          <w:sz w:val="24"/>
          <w:szCs w:val="24"/>
        </w:rPr>
        <w:t xml:space="preserve">Additions appear as Double Underline text </w:t>
      </w:r>
    </w:p>
    <w:p>
      <w:pPr>
        <w:pStyle w:val="Normal"/>
        <w:rPr>
          <w:rStyle w:val="zYField"/>
          <w:color w:val="000000"/>
          <w:sz w:val="24"/>
          <w:szCs w:val="24"/>
        </w:rPr>
      </w:pPr>
      <w:r>
        <w:rPr/>
      </w:r>
    </w:p>
    <w:p>
      <w:pPr>
        <w:pStyle w:val="Normal"/>
        <w:rPr/>
      </w:pPr>
      <w:r>
        <w:rPr>
          <w:rStyle w:val="zYField"/>
          <w:color w:val="000000"/>
          <w:sz w:val="24"/>
          <w:szCs w:val="24"/>
        </w:rPr>
        <w:t>VERSION COMPARE INFORMATION</w:t>
        <w:br/>
        <w:t>Original file: OC-30235448</w:t>
        <w:br/>
        <w:t>Version: 4</w:t>
        <w:br/>
        <w:t>Title: EME--BROOKLYN DISCLOSURE SCHEDULES</w:t>
        <w:br/>
        <w:t>Author: MOSTAFAVIPOUR, ARASH</w:t>
        <w:br/>
        <w:br/>
        <w:t>compared to</w:t>
        <w:br/>
        <w:br/>
        <w:t>Revised file: OC-30235448</w:t>
        <w:br/>
        <w:t>Version: 5</w:t>
        <w:br/>
        <w:t>Title: EME--BROOKLYN DISCLOSURE SCHEDULES</w:t>
        <w:br/>
        <w:t>Author: MOSTAFAVIPOUR, ARASH</w:t>
        <w:br/>
        <w:br/>
        <w:t>Compared on 7/28/2001 at 5:27 PM</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szCs w:val="16"/>
      </w:rPr>
      <w:fldChar w:fldCharType="begin"/>
    </w:r>
    <w:r>
      <w:rPr>
        <w:rStyle w:val="PageNumber"/>
        <w:sz w:val="16"/>
        <w:szCs w:val="16"/>
      </w:rPr>
      <w:instrText xml:space="preserve"> FILENAME </w:instrText>
    </w:r>
    <w:r>
      <w:rPr>
        <w:rStyle w:val="PageNumber"/>
        <w:sz w:val="16"/>
        <w:szCs w:val="16"/>
      </w:rPr>
      <w:fldChar w:fldCharType="separate"/>
    </w:r>
    <w:r>
      <w:rPr>
        <w:rStyle w:val="PageNumber"/>
        <w:sz w:val="16"/>
        <w:szCs w:val="16"/>
      </w:rPr>
      <w:t>SPA_disclosure_schedules_072901.doc</w:t>
    </w:r>
    <w:r>
      <w:rPr>
        <w:rStyle w:val="PageNumbe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SPA_disclosure_schedules_072901.doc</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0"/>
    <w:next w:val="Single"/>
    <w:qFormat/>
    <w:pPr>
      <w:keepNext w:val="true"/>
      <w:keepLines/>
      <w:numPr>
        <w:ilvl w:val="0"/>
        <w:numId w:val="1"/>
      </w:numPr>
      <w:ind w:hanging="0" w:start="720" w:end="720"/>
      <w:jc w:val="center"/>
      <w:outlineLvl w:val="0"/>
    </w:pPr>
    <w:rPr>
      <w:b/>
      <w:bCs/>
      <w:kern w:val="2"/>
    </w:rPr>
  </w:style>
  <w:style w:type="paragraph" w:styleId="Heading2">
    <w:name w:val="heading 2"/>
    <w:basedOn w:val="Heading1"/>
    <w:next w:val="Single"/>
    <w:qFormat/>
    <w:pPr>
      <w:numPr>
        <w:ilvl w:val="1"/>
        <w:numId w:val="1"/>
      </w:numPr>
      <w:ind w:hanging="720" w:start="720" w:end="720"/>
      <w:jc w:val="start"/>
      <w:outlineLvl w:val="1"/>
    </w:pPr>
    <w:rPr/>
  </w:style>
  <w:style w:type="paragraph" w:styleId="Heading3">
    <w:name w:val="heading 3"/>
    <w:basedOn w:val="Heading2"/>
    <w:next w:val="Single"/>
    <w:qFormat/>
    <w:pPr>
      <w:numPr>
        <w:ilvl w:val="2"/>
        <w:numId w:val="1"/>
      </w:numPr>
      <w:ind w:hanging="720" w:start="1440" w:end="720"/>
      <w:outlineLvl w:val="2"/>
    </w:pPr>
    <w:rPr/>
  </w:style>
  <w:style w:type="paragraph" w:styleId="Heading4">
    <w:name w:val="heading 4"/>
    <w:basedOn w:val="Heading3"/>
    <w:next w:val="Single"/>
    <w:qFormat/>
    <w:pPr>
      <w:numPr>
        <w:ilvl w:val="3"/>
        <w:numId w:val="1"/>
      </w:numPr>
      <w:ind w:hanging="720" w:start="2160" w:end="720"/>
      <w:outlineLvl w:val="3"/>
    </w:pPr>
    <w:rPr/>
  </w:style>
  <w:style w:type="paragraph" w:styleId="Heading5">
    <w:name w:val="heading 5"/>
    <w:basedOn w:val="Heading4"/>
    <w:next w:val="Single"/>
    <w:qFormat/>
    <w:pPr>
      <w:numPr>
        <w:ilvl w:val="4"/>
        <w:numId w:val="1"/>
      </w:numPr>
      <w:ind w:hanging="720" w:start="2880" w:end="720"/>
      <w:outlineLvl w:val="4"/>
    </w:pPr>
    <w:rPr/>
  </w:style>
  <w:style w:type="paragraph" w:styleId="Heading6">
    <w:name w:val="heading 6"/>
    <w:basedOn w:val="Heading5"/>
    <w:next w:val="Single"/>
    <w:qFormat/>
    <w:pPr>
      <w:numPr>
        <w:ilvl w:val="5"/>
        <w:numId w:val="1"/>
      </w:numPr>
      <w:outlineLvl w:val="5"/>
    </w:pPr>
    <w:rPr/>
  </w:style>
  <w:style w:type="paragraph" w:styleId="Heading7">
    <w:name w:val="heading 7"/>
    <w:basedOn w:val="Heading6"/>
    <w:next w:val="Single"/>
    <w:qFormat/>
    <w:pPr>
      <w:numPr>
        <w:ilvl w:val="6"/>
        <w:numId w:val="1"/>
      </w:numPr>
      <w:ind w:hanging="720" w:start="3600" w:end="720"/>
      <w:outlineLvl w:val="6"/>
    </w:pPr>
    <w:rPr/>
  </w:style>
  <w:style w:type="paragraph" w:styleId="Heading8">
    <w:name w:val="heading 8"/>
    <w:basedOn w:val="Heading7"/>
    <w:next w:val="Single"/>
    <w:qFormat/>
    <w:pPr>
      <w:numPr>
        <w:ilvl w:val="7"/>
        <w:numId w:val="1"/>
      </w:numPr>
      <w:ind w:hanging="720" w:start="4320" w:end="720"/>
      <w:outlineLvl w:val="7"/>
    </w:pPr>
    <w:rPr/>
  </w:style>
  <w:style w:type="paragraph" w:styleId="Heading9">
    <w:name w:val="heading 9"/>
    <w:basedOn w:val="Heading8"/>
    <w:next w:val="Single"/>
    <w:qFormat/>
    <w:pPr>
      <w:numPr>
        <w:ilvl w:val="8"/>
        <w:numId w:val="1"/>
      </w:numPr>
      <w:ind w:hanging="720" w:start="5040" w:end="720"/>
      <w:outlineLvl w:val="8"/>
    </w:pPr>
    <w:rPr/>
  </w:style>
  <w:style w:type="character" w:styleId="DefaultParagraphFont">
    <w:name w:val="Default Paragraph Font"/>
    <w:qFormat/>
    <w:rPr/>
  </w:style>
  <w:style w:type="character" w:styleId="FootnoteCharacters">
    <w:name w:val="Footnote Characters"/>
    <w:basedOn w:val="DefaultParagraphFont"/>
    <w:qFormat/>
    <w:rPr>
      <w:color w:val="0000FF"/>
      <w:szCs w:val="20"/>
      <w:vertAlign w:val="superscript"/>
    </w:rPr>
  </w:style>
  <w:style w:type="character" w:styleId="PageNumber">
    <w:name w:val="page number"/>
    <w:basedOn w:val="DefaultParagraphFont"/>
    <w:rPr>
      <w:szCs w:val="20"/>
    </w:rPr>
  </w:style>
  <w:style w:type="character" w:styleId="zYDate">
    <w:name w:val="zY_Date"/>
    <w:basedOn w:val="DefaultParagraphFont"/>
    <w:qFormat/>
    <w:rPr>
      <w:szCs w:val="20"/>
    </w:rPr>
  </w:style>
  <w:style w:type="character" w:styleId="zYField">
    <w:name w:val="zY_Field"/>
    <w:basedOn w:val="DefaultParagraphFont"/>
    <w:qFormat/>
    <w:rPr>
      <w:color w:val="0000FF"/>
      <w:sz w:val="16"/>
      <w:szCs w:val="16"/>
    </w:rPr>
  </w:style>
  <w:style w:type="character" w:styleId="zYPlaceHolder">
    <w:name w:val="zY_PlaceHolder"/>
    <w:basedOn w:val="DefaultParagraphFont"/>
    <w:qFormat/>
    <w:rPr>
      <w:color w:val="007F00"/>
      <w:szCs w:val="20"/>
    </w:rPr>
  </w:style>
  <w:style w:type="character" w:styleId="zYRunIn">
    <w:name w:val="zY_RunIn"/>
    <w:basedOn w:val="DefaultParagraphFont"/>
    <w:qFormat/>
    <w:rPr>
      <w:vanish/>
      <w:color w:val="FF00FF"/>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0">
    <w:name w:val="Heading 0"/>
    <w:basedOn w:val="Normal"/>
    <w:next w:val="Single"/>
    <w:qFormat/>
    <w:pPr>
      <w:spacing w:before="240" w:after="0"/>
    </w:pPr>
    <w:rPr/>
  </w:style>
  <w:style w:type="paragraph" w:styleId="Single">
    <w:name w:val="Single"/>
    <w:basedOn w:val="Normal"/>
    <w:qFormat/>
    <w:pPr>
      <w:spacing w:before="240" w:after="0"/>
      <w:ind w:firstLine="720" w:start="0" w:end="0"/>
    </w:pPr>
    <w:rPr/>
  </w:style>
  <w:style w:type="paragraph" w:styleId="15">
    <w:name w:val="1/.5"/>
    <w:basedOn w:val="Single"/>
    <w:qFormat/>
    <w:pPr>
      <w:ind w:firstLine="720" w:start="720" w:end="0"/>
    </w:pPr>
    <w:rPr/>
  </w:style>
  <w:style w:type="paragraph" w:styleId="151">
    <w:name w:val="1.5/1"/>
    <w:basedOn w:val="15"/>
    <w:qFormat/>
    <w:pPr>
      <w:ind w:firstLine="720" w:start="1440" w:end="0"/>
    </w:pPr>
    <w:rPr/>
  </w:style>
  <w:style w:type="paragraph" w:styleId="215">
    <w:name w:val="2/1.5"/>
    <w:basedOn w:val="151"/>
    <w:qFormat/>
    <w:pPr>
      <w:ind w:firstLine="72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Double">
    <w:name w:val="Double"/>
    <w:basedOn w:val="Normal"/>
    <w:qFormat/>
    <w:pPr>
      <w:spacing w:lineRule="auto" w:line="480"/>
      <w:ind w:firstLine="720" w:start="0" w:end="0"/>
    </w:pPr>
    <w:rPr/>
  </w:style>
  <w:style w:type="paragraph" w:styleId="DoubleBlock">
    <w:name w:val="Double Block"/>
    <w:basedOn w:val="Double"/>
    <w:qFormat/>
    <w:pPr>
      <w:ind w:hanging="0" w:start="0" w:end="0"/>
    </w:pPr>
    <w:rPr/>
  </w:style>
  <w:style w:type="paragraph" w:styleId="DoubleCenter">
    <w:name w:val="Double Center"/>
    <w:basedOn w:val="Double"/>
    <w:next w:val="Double"/>
    <w:qFormat/>
    <w:pPr>
      <w:ind w:hanging="0" w:start="0" w:end="0"/>
      <w:jc w:val="center"/>
    </w:pPr>
    <w:rPr/>
  </w:style>
  <w:style w:type="paragraph" w:styleId="DoubleHanging">
    <w:name w:val="Double Hanging"/>
    <w:basedOn w:val="Double"/>
    <w:qFormat/>
    <w:pPr>
      <w:ind w:hanging="720" w:start="720" w:end="0"/>
    </w:pPr>
    <w:rPr/>
  </w:style>
  <w:style w:type="paragraph" w:styleId="DoubleIndent">
    <w:name w:val="Double Indent"/>
    <w:basedOn w:val="Double"/>
    <w:qFormat/>
    <w:pPr>
      <w:ind w:hanging="0" w:start="720" w:end="720"/>
    </w:pPr>
    <w:rPr/>
  </w:style>
  <w:style w:type="paragraph" w:styleId="Header">
    <w:name w:val="header"/>
    <w:basedOn w:val="Normal"/>
    <w:pPr>
      <w:tabs>
        <w:tab w:val="clear" w:pos="720"/>
        <w:tab w:val="center" w:pos="4680" w:leader="none"/>
        <w:tab w:val="right" w:pos="9360" w:leader="none"/>
      </w:tabs>
    </w:pPr>
    <w:rPr/>
  </w:style>
  <w:style w:type="paragraph" w:styleId="SingleBlock">
    <w:name w:val="Single Block"/>
    <w:basedOn w:val="Single"/>
    <w:qFormat/>
    <w:pPr>
      <w:ind w:hanging="0" w:start="0" w:end="0"/>
    </w:pPr>
    <w:rPr/>
  </w:style>
  <w:style w:type="paragraph" w:styleId="SingleHanging">
    <w:name w:val="Single Hanging"/>
    <w:basedOn w:val="Single"/>
    <w:qFormat/>
    <w:pPr>
      <w:ind w:hanging="720" w:start="720" w:end="0"/>
    </w:pPr>
    <w:rPr/>
  </w:style>
  <w:style w:type="paragraph" w:styleId="FootnoteText">
    <w:name w:val="footnote text"/>
    <w:basedOn w:val="SingleHanging"/>
    <w:pPr>
      <w:tabs>
        <w:tab w:val="clear" w:pos="720"/>
        <w:tab w:val="right" w:pos="216" w:leader="none"/>
        <w:tab w:val="left" w:pos="360" w:leader="none"/>
      </w:tabs>
      <w:ind w:hanging="360" w:start="360" w:end="0"/>
    </w:pPr>
    <w:rPr/>
  </w:style>
  <w:style w:type="paragraph" w:styleId="RightHalf">
    <w:name w:val="Right Half"/>
    <w:basedOn w:val="Normal"/>
    <w:qFormat/>
    <w:pPr>
      <w:ind w:hanging="0" w:start="4320" w:end="0"/>
    </w:pPr>
    <w:rPr/>
  </w:style>
  <w:style w:type="paragraph" w:styleId="SingleCenter">
    <w:name w:val="Single Center"/>
    <w:basedOn w:val="Single"/>
    <w:next w:val="Single"/>
    <w:qFormat/>
    <w:pPr>
      <w:ind w:hanging="0" w:start="0" w:end="0"/>
      <w:jc w:val="center"/>
    </w:pPr>
    <w:rPr/>
  </w:style>
  <w:style w:type="paragraph" w:styleId="SingleIndent">
    <w:name w:val="Single Indent"/>
    <w:basedOn w:val="Single"/>
    <w:qFormat/>
    <w:pPr>
      <w:ind w:hanging="0" w:start="720" w:end="720"/>
    </w:pPr>
    <w:rPr/>
  </w:style>
  <w:style w:type="paragraph" w:styleId="TOC0">
    <w:name w:val="TOC 0"/>
    <w:basedOn w:val="Normal"/>
    <w:next w:val="TOC1"/>
    <w:qFormat/>
    <w:pPr>
      <w:spacing w:before="240" w:after="0"/>
    </w:pPr>
    <w:rPr>
      <w:color w:val="0000FF"/>
    </w:rPr>
  </w:style>
  <w:style w:type="paragraph" w:styleId="TOC1">
    <w:name w:val="toc 1"/>
    <w:basedOn w:val="TOC0"/>
    <w:pPr>
      <w:tabs>
        <w:tab w:val="clear" w:pos="720"/>
        <w:tab w:val="decimal" w:pos="432" w:leader="none"/>
        <w:tab w:val="decimal" w:pos="907" w:leader="none"/>
        <w:tab w:val="left" w:pos="1440" w:leader="none"/>
        <w:tab w:val="decimal" w:pos="9288" w:leader="dot"/>
      </w:tabs>
      <w:ind w:hanging="720" w:start="720" w:end="0"/>
    </w:pPr>
    <w:rPr/>
  </w:style>
  <w:style w:type="paragraph" w:styleId="TOC2">
    <w:name w:val="toc 2"/>
    <w:basedOn w:val="TOC1"/>
    <w:pPr>
      <w:ind w:hanging="720" w:start="1440" w:end="0"/>
    </w:pPr>
    <w:rPr/>
  </w:style>
  <w:style w:type="paragraph" w:styleId="TOC3">
    <w:name w:val="toc 3"/>
    <w:basedOn w:val="TOC2"/>
    <w:pPr>
      <w:ind w:hanging="720" w:start="2160" w:end="0"/>
    </w:pPr>
    <w:rPr/>
  </w:style>
  <w:style w:type="paragraph" w:styleId="TOC4">
    <w:name w:val="toc 4"/>
    <w:basedOn w:val="TOC3"/>
    <w:pPr>
      <w:ind w:hanging="720" w:start="2880" w:end="0"/>
    </w:pPr>
    <w:rPr/>
  </w:style>
  <w:style w:type="paragraph" w:styleId="zYDraft">
    <w:name w:val="zY_Draft"/>
    <w:basedOn w:val="Normal"/>
    <w:qFormat/>
    <w:pPr>
      <w:jc w:val="end"/>
    </w:pPr>
    <w:rPr>
      <w:color w:val="0000FF"/>
    </w:rPr>
  </w:style>
  <w:style w:type="paragraph" w:styleId="EnvelopeAddress">
    <w:name w:val="envelope address"/>
    <w:basedOn w:val="Normal"/>
    <w:pPr>
      <w:ind w:hanging="0" w:start="2880" w:end="0"/>
    </w:pPr>
    <w:rPr/>
  </w:style>
  <w:style w:type="paragraph" w:styleId="EnvelopeReturn">
    <w:name w:val="envelope return"/>
    <w:basedOn w:val="Normal"/>
    <w:pPr/>
    <w:rPr>
      <w:szCs w:val="20"/>
    </w:rPr>
  </w:style>
  <w:style w:type="paragraph" w:styleId="TOC5">
    <w:name w:val="toc 5"/>
    <w:basedOn w:val="TOC4"/>
    <w:pPr>
      <w:ind w:hanging="720" w:start="360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2001-07-29T14:09:00Z</dcterms:created>
  <dc:creator>08733</dc:creator>
  <dc:description/>
  <dc:language>en-CA</dc:language>
  <cp:lastModifiedBy>wkeeney</cp:lastModifiedBy>
  <cp:lastPrinted>2001-07-26T17:49:00Z</cp:lastPrinted>
  <dcterms:modified xsi:type="dcterms:W3CDTF">2001-07-29T14:09:00Z</dcterms:modified>
  <cp:revision>2</cp:revision>
  <dc:subject/>
  <dc:title>Blank</dc:title>
</cp:coreProperties>
</file>