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jc w:val="end"/>
        <w:rPr>
          <w:b/>
          <w:bCs/>
          <w:u w:val="none"/>
        </w:rPr>
      </w:pPr>
      <w:r>
        <w:rPr>
          <w:b/>
          <w:bCs/>
          <w:u w:val="double"/>
        </w:rPr>
        <w:t>MTH&amp;M Comments 5/4/01</w:t>
      </w:r>
    </w:p>
    <w:p>
      <w:pPr>
        <w:pStyle w:val="Heading"/>
        <w:widowControl/>
        <w:jc w:val="end"/>
        <w:rPr>
          <w:b/>
          <w:bCs/>
          <w:u w:val="none"/>
        </w:rPr>
      </w:pPr>
      <w:r>
        <w:rPr>
          <w:b/>
          <w:bCs/>
          <w:u w:val="none"/>
        </w:rPr>
      </w:r>
    </w:p>
    <w:p>
      <w:pPr>
        <w:pStyle w:val="Heading"/>
        <w:widowControl/>
        <w:rPr>
          <w:b/>
          <w:bCs/>
          <w:u w:val="none"/>
        </w:rPr>
      </w:pPr>
      <w:r>
        <w:rPr>
          <w:b/>
          <w:bCs/>
          <w:u w:val="none"/>
        </w:rPr>
        <w:t>Riders to Securities Purchase Agreement</w:t>
      </w:r>
    </w:p>
    <w:p>
      <w:pPr>
        <w:pStyle w:val="Heading"/>
        <w:widowControl/>
        <w:rPr>
          <w:b/>
          <w:bCs/>
          <w:u w:val="none"/>
        </w:rPr>
      </w:pPr>
      <w:r>
        <w:rPr>
          <w:b/>
          <w:bCs/>
          <w:u w:val="none"/>
        </w:rPr>
      </w:r>
    </w:p>
    <w:p>
      <w:pPr>
        <w:pStyle w:val="Normal"/>
        <w:widowControl/>
        <w:rPr>
          <w:b/>
          <w:bCs/>
          <w:u w:val="none"/>
        </w:rPr>
      </w:pPr>
      <w:r>
        <w:rPr>
          <w:b/>
          <w:bCs/>
          <w:u w:val="none"/>
        </w:rPr>
      </w:r>
    </w:p>
    <w:p>
      <w:pPr>
        <w:pStyle w:val="Normal"/>
        <w:widowControl/>
        <w:rPr/>
      </w:pPr>
      <w:r>
        <w:rPr/>
        <w:t>“</w:t>
      </w:r>
      <w:r>
        <w:rPr>
          <w:i/>
          <w:iCs/>
        </w:rPr>
        <w:t>Adjusted Initial Purchase Price</w:t>
      </w:r>
      <w:r>
        <w:rPr/>
        <w:t xml:space="preserve">” is defined in </w:t>
      </w:r>
      <w:r>
        <w:rPr>
          <w:u w:val="single"/>
        </w:rPr>
        <w:t>Section 3.1</w:t>
      </w:r>
      <w:r>
        <w:rPr/>
        <w:t>. [</w:t>
      </w:r>
      <w:r>
        <w:rPr>
          <w:b/>
          <w:bCs/>
        </w:rPr>
        <w:t>Replace existing defined term “Adjusted Purchase Price” where used in Agreement.</w:t>
      </w:r>
      <w:r>
        <w:rPr/>
        <w:t>]</w:t>
      </w:r>
    </w:p>
    <w:p>
      <w:pPr>
        <w:pStyle w:val="Normal"/>
        <w:widowControl/>
        <w:rPr/>
      </w:pPr>
      <w:r>
        <w:rPr/>
      </w:r>
    </w:p>
    <w:p>
      <w:pPr>
        <w:pStyle w:val="Normal"/>
        <w:widowControl/>
        <w:rPr/>
      </w:pPr>
      <w:r>
        <w:rPr/>
        <w:t>“</w:t>
      </w:r>
      <w:r>
        <w:rPr>
          <w:i/>
          <w:iCs/>
        </w:rPr>
        <w:t>Applicable Percentage</w:t>
      </w:r>
      <w:r>
        <w:rPr/>
        <w:t xml:space="preserve">” shall mean the applicable percentage of Excess Proceeds </w:t>
      </w:r>
      <w:r>
        <w:rPr>
          <w:strike/>
        </w:rPr>
        <w:t>to be received by</w:t>
      </w:r>
      <w:r>
        <w:rPr/>
        <w:t xml:space="preserve"> </w:t>
      </w:r>
      <w:r>
        <w:rPr>
          <w:b/>
          <w:bCs/>
          <w:u w:val="double"/>
        </w:rPr>
        <w:t xml:space="preserve">allocable to </w:t>
      </w:r>
      <w:r>
        <w:rPr/>
        <w:t xml:space="preserve">Seller pursuant to </w:t>
      </w:r>
      <w:r>
        <w:rPr>
          <w:u w:val="single"/>
        </w:rPr>
        <w:t>Section 3.6</w:t>
      </w:r>
      <w:r>
        <w:rPr/>
        <w:t xml:space="preserve"> below as set forth in the table below based upon the number of months from the Effective Date to the date of a Subsequent Sale:</w:t>
      </w:r>
    </w:p>
    <w:p>
      <w:pPr>
        <w:pStyle w:val="Normal"/>
        <w:widowControl/>
        <w:rPr/>
      </w:pPr>
      <w:r>
        <w:rPr/>
      </w:r>
    </w:p>
    <w:tbl>
      <w:tblPr>
        <w:tblW w:w="4020" w:type="dxa"/>
        <w:jc w:val="start"/>
        <w:tblInd w:w="2448" w:type="dxa"/>
        <w:tblLayout w:type="fixed"/>
        <w:tblCellMar>
          <w:top w:w="0" w:type="dxa"/>
          <w:start w:w="108" w:type="dxa"/>
          <w:bottom w:w="0" w:type="dxa"/>
          <w:end w:w="108" w:type="dxa"/>
        </w:tblCellMar>
      </w:tblPr>
      <w:tblGrid>
        <w:gridCol w:w="2010"/>
        <w:gridCol w:w="2010"/>
      </w:tblGrid>
      <w:tr>
        <w:trPr/>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b/>
                <w:bCs/>
              </w:rPr>
            </w:pPr>
            <w:r>
              <w:rPr>
                <w:b/>
                <w:bCs/>
              </w:rPr>
              <w:t>Months from Effective Date to Subsequent Sale</w:t>
            </w:r>
          </w:p>
        </w:tc>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snapToGrid w:val="false"/>
              <w:jc w:val="center"/>
              <w:rPr>
                <w:b/>
                <w:bCs/>
              </w:rPr>
            </w:pPr>
            <w:r>
              <w:rPr>
                <w:b/>
                <w:bCs/>
              </w:rPr>
            </w:r>
          </w:p>
          <w:p>
            <w:pPr>
              <w:pStyle w:val="Normal"/>
              <w:keepNext w:val="true"/>
              <w:keepLines/>
              <w:widowControl/>
              <w:jc w:val="center"/>
              <w:rPr>
                <w:b/>
                <w:bCs/>
              </w:rPr>
            </w:pPr>
            <w:r>
              <w:rPr>
                <w:b/>
                <w:bCs/>
              </w:rPr>
              <w:t>Applicable Percentage</w:t>
            </w:r>
          </w:p>
        </w:tc>
      </w:tr>
      <w:tr>
        <w:trPr/>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pPr>
            <w:r>
              <w:rPr/>
              <w:t>8 or less</w:t>
            </w:r>
          </w:p>
        </w:tc>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pPr>
            <w:r>
              <w:rPr/>
              <w:t>90%</w:t>
            </w:r>
          </w:p>
        </w:tc>
      </w:tr>
      <w:tr>
        <w:trPr/>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pPr>
            <w:r>
              <w:rPr/>
              <w:t>9</w:t>
            </w:r>
          </w:p>
        </w:tc>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pPr>
            <w:r>
              <w:rPr/>
              <w:t>80%</w:t>
            </w:r>
          </w:p>
        </w:tc>
      </w:tr>
      <w:tr>
        <w:trPr/>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pPr>
            <w:r>
              <w:rPr/>
              <w:t>10-11</w:t>
            </w:r>
          </w:p>
        </w:tc>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pPr>
            <w:r>
              <w:rPr/>
              <w:t>70%</w:t>
            </w:r>
          </w:p>
        </w:tc>
      </w:tr>
      <w:tr>
        <w:trPr/>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pPr>
            <w:r>
              <w:rPr/>
              <w:t>12</w:t>
            </w:r>
          </w:p>
        </w:tc>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pPr>
            <w:r>
              <w:rPr/>
              <w:t>65%</w:t>
            </w:r>
          </w:p>
        </w:tc>
      </w:tr>
      <w:tr>
        <w:trPr/>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pPr>
            <w:r>
              <w:rPr/>
              <w:t>13</w:t>
            </w:r>
          </w:p>
        </w:tc>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pPr>
            <w:r>
              <w:rPr/>
              <w:t>60%</w:t>
            </w:r>
          </w:p>
        </w:tc>
      </w:tr>
      <w:tr>
        <w:trPr/>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pPr>
            <w:r>
              <w:rPr/>
              <w:t>14</w:t>
            </w:r>
          </w:p>
        </w:tc>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pPr>
            <w:r>
              <w:rPr/>
              <w:t>55%</w:t>
            </w:r>
          </w:p>
        </w:tc>
      </w:tr>
      <w:tr>
        <w:trPr/>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pPr>
            <w:r>
              <w:rPr/>
              <w:t>15</w:t>
            </w:r>
          </w:p>
        </w:tc>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pPr>
            <w:r>
              <w:rPr/>
              <w:t>50%</w:t>
            </w:r>
          </w:p>
        </w:tc>
      </w:tr>
      <w:tr>
        <w:trPr/>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pPr>
            <w:r>
              <w:rPr/>
              <w:t>16</w:t>
            </w:r>
          </w:p>
        </w:tc>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pPr>
            <w:r>
              <w:rPr/>
              <w:t>45%</w:t>
            </w:r>
          </w:p>
        </w:tc>
      </w:tr>
      <w:tr>
        <w:trPr/>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pPr>
            <w:r>
              <w:rPr/>
              <w:t>17</w:t>
            </w:r>
          </w:p>
        </w:tc>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pPr>
            <w:r>
              <w:rPr/>
              <w:t xml:space="preserve"> </w:t>
            </w:r>
            <w:r>
              <w:rPr>
                <w:strike/>
              </w:rPr>
              <w:t>50%</w:t>
            </w:r>
            <w:r>
              <w:rPr/>
              <w:t xml:space="preserve"> </w:t>
            </w:r>
            <w:r>
              <w:rPr>
                <w:b/>
                <w:bCs/>
                <w:u w:val="double"/>
              </w:rPr>
              <w:t>40%</w:t>
            </w:r>
          </w:p>
        </w:tc>
      </w:tr>
      <w:tr>
        <w:trPr/>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pPr>
            <w:r>
              <w:rPr/>
              <w:t>18</w:t>
            </w:r>
          </w:p>
        </w:tc>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pPr>
            <w:r>
              <w:rPr/>
              <w:t>35%</w:t>
            </w:r>
          </w:p>
        </w:tc>
      </w:tr>
      <w:tr>
        <w:trPr/>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pPr>
            <w:r>
              <w:rPr/>
              <w:t>19</w:t>
            </w:r>
          </w:p>
        </w:tc>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pPr>
            <w:r>
              <w:rPr/>
              <w:t>30%</w:t>
            </w:r>
          </w:p>
        </w:tc>
      </w:tr>
      <w:tr>
        <w:trPr/>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pPr>
            <w:r>
              <w:rPr/>
              <w:t>20</w:t>
            </w:r>
          </w:p>
        </w:tc>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pPr>
            <w:r>
              <w:rPr/>
              <w:t>25%</w:t>
            </w:r>
          </w:p>
        </w:tc>
      </w:tr>
      <w:tr>
        <w:trPr/>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pPr>
            <w:r>
              <w:rPr/>
              <w:t>21 and</w:t>
              <w:br/>
              <w:t>thereafter</w:t>
            </w:r>
          </w:p>
        </w:tc>
        <w:tc>
          <w:tcPr>
            <w:tcW w:w="2010" w:type="dxa"/>
            <w:tcBorders>
              <w:top w:val="single" w:sz="6" w:space="0" w:color="000000"/>
              <w:start w:val="single" w:sz="6" w:space="0" w:color="000000"/>
              <w:bottom w:val="single" w:sz="6" w:space="0" w:color="000000"/>
              <w:end w:val="single" w:sz="6" w:space="0" w:color="000000"/>
            </w:tcBorders>
          </w:tcPr>
          <w:p>
            <w:pPr>
              <w:pStyle w:val="Normal"/>
              <w:keepNext w:val="true"/>
              <w:keepLines/>
              <w:widowControl/>
              <w:jc w:val="center"/>
              <w:rPr/>
            </w:pPr>
            <w:r>
              <w:rPr/>
              <w:t>20%</w:t>
            </w:r>
          </w:p>
        </w:tc>
      </w:tr>
    </w:tbl>
    <w:p>
      <w:pPr>
        <w:pStyle w:val="Normal"/>
        <w:widowControl/>
        <w:rPr/>
      </w:pPr>
      <w:r>
        <w:rPr/>
      </w:r>
    </w:p>
    <w:p>
      <w:pPr>
        <w:pStyle w:val="BodyTextIndent2"/>
        <w:widowControl/>
        <w:ind w:start="0" w:end="0"/>
        <w:rPr/>
      </w:pPr>
      <w:r>
        <w:rPr/>
        <w:t>In calculating the number of months that have elapsed from the Effective Date to the date of the Subsequent Sale for purposes of determining the Applicable Percentage pursuant to the preceding table, a partial month shall constitute a full month.  For example, if the Effective Date is May 11, 2001 and the Subsequent Sale occurs on January 25, 2002, nine (9) calendar months shall be deemed to have elapsed and therefore the Applicable Percentage would be 80%.</w:t>
      </w:r>
    </w:p>
    <w:p>
      <w:pPr>
        <w:pStyle w:val="Normal"/>
        <w:widowControl/>
        <w:rPr/>
      </w:pPr>
      <w:r>
        <w:rPr/>
      </w:r>
    </w:p>
    <w:p>
      <w:pPr>
        <w:pStyle w:val="Normal"/>
        <w:widowControl/>
        <w:rPr/>
      </w:pPr>
      <w:r>
        <w:rPr>
          <w:b/>
          <w:bCs/>
          <w:u w:val="double"/>
        </w:rPr>
        <w:t>[</w:t>
      </w:r>
      <w:r>
        <w:rPr/>
        <w:t>“</w:t>
      </w:r>
      <w:r>
        <w:rPr>
          <w:i/>
          <w:iCs/>
        </w:rPr>
        <w:t>Buyer’s Priority Return</w:t>
      </w:r>
      <w:r>
        <w:rPr/>
        <w:t xml:space="preserve">” shall mean an amount equal to a pre-tax, cash on cash, cumulative internal annual rate of return of twenty five (25%) per annum, compounded annually and calculated in accordance with the formula set out in </w:t>
      </w:r>
      <w:r>
        <w:rPr>
          <w:u w:val="single"/>
        </w:rPr>
        <w:t>Exhibit 3.6</w:t>
      </w:r>
      <w:r>
        <w:rPr>
          <w:b/>
          <w:bCs/>
          <w:u w:val="double"/>
        </w:rPr>
        <w:t>(c).]</w:t>
      </w:r>
    </w:p>
    <w:p>
      <w:pPr>
        <w:pStyle w:val="Normal"/>
        <w:widowControl/>
        <w:rPr>
          <w:b/>
          <w:bCs/>
          <w:u w:val="double"/>
        </w:rPr>
      </w:pPr>
      <w:r>
        <w:rPr>
          <w:b/>
          <w:bCs/>
          <w:u w:val="double"/>
        </w:rPr>
      </w:r>
    </w:p>
    <w:p>
      <w:pPr>
        <w:pStyle w:val="Normal"/>
        <w:widowControl/>
        <w:rPr/>
      </w:pPr>
      <w:r>
        <w:rPr>
          <w:b/>
          <w:bCs/>
          <w:u w:val="double"/>
        </w:rPr>
        <w:t>“</w:t>
      </w:r>
      <w:r>
        <w:rPr>
          <w:b/>
          <w:bCs/>
          <w:i/>
          <w:iCs/>
          <w:u w:val="double"/>
        </w:rPr>
        <w:t>Commission</w:t>
      </w:r>
      <w:r>
        <w:rPr>
          <w:b/>
          <w:bCs/>
          <w:u w:val="double"/>
        </w:rPr>
        <w:t>” has the meaning set forth in the Brokerage Agreement.</w:t>
      </w:r>
      <w:r>
        <w:rPr>
          <w:strike/>
        </w:rPr>
        <w:t>.</w:t>
      </w:r>
    </w:p>
    <w:p>
      <w:pPr>
        <w:pStyle w:val="Normal"/>
        <w:widowControl/>
        <w:rPr/>
      </w:pPr>
      <w:r>
        <w:rPr/>
      </w:r>
    </w:p>
    <w:p>
      <w:pPr>
        <w:pStyle w:val="Normal"/>
        <w:widowControl/>
        <w:rPr/>
      </w:pPr>
      <w:r>
        <w:rPr/>
        <w:t>“</w:t>
      </w:r>
      <w:r>
        <w:rPr>
          <w:i/>
          <w:iCs/>
        </w:rPr>
        <w:t>Contingent Consideration</w:t>
      </w:r>
      <w:r>
        <w:rPr/>
        <w:t xml:space="preserve">” has the meaning set forth in </w:t>
      </w:r>
      <w:r>
        <w:rPr>
          <w:u w:val="single"/>
        </w:rPr>
        <w:t>Section 3.6</w:t>
      </w:r>
      <w:r>
        <w:rPr/>
        <w:t>.</w:t>
      </w:r>
    </w:p>
    <w:p>
      <w:pPr>
        <w:pStyle w:val="Normal"/>
        <w:widowControl/>
        <w:rPr/>
      </w:pPr>
      <w:r>
        <w:rPr/>
      </w:r>
    </w:p>
    <w:p>
      <w:pPr>
        <w:pStyle w:val="Normal"/>
        <w:widowControl/>
        <w:rPr/>
      </w:pPr>
      <w:r>
        <w:rPr/>
        <w:t>“</w:t>
      </w:r>
      <w:r>
        <w:rPr>
          <w:i/>
          <w:iCs/>
        </w:rPr>
        <w:t>EEI Master</w:t>
      </w:r>
      <w:r>
        <w:rPr/>
        <w:t>” has the meaning given to that term in the Asset Management Agreement.</w:t>
      </w:r>
    </w:p>
    <w:p>
      <w:pPr>
        <w:pStyle w:val="Normal"/>
        <w:widowControl/>
        <w:rPr/>
      </w:pPr>
      <w:r>
        <w:rPr/>
      </w:r>
    </w:p>
    <w:p>
      <w:pPr>
        <w:pStyle w:val="Normal"/>
        <w:widowControl/>
        <w:rPr/>
      </w:pPr>
      <w:r>
        <w:rPr/>
        <w:t>“</w:t>
      </w:r>
      <w:r>
        <w:rPr>
          <w:i/>
          <w:iCs/>
        </w:rPr>
        <w:t>Excess Proceeds</w:t>
      </w:r>
      <w:r>
        <w:rPr/>
        <w:t xml:space="preserve">” shall mean the amount, if any, by which (1) the Proceeds of a Subsequent Sale exceed (2) the aggregate of (a) any expenses incurred by Buyer and Seller </w:t>
      </w:r>
      <w:r>
        <w:rPr>
          <w:b/>
          <w:bCs/>
          <w:u w:val="double"/>
        </w:rPr>
        <w:t>and its Affiliates (to the extent reiumbursable to Seller and such Affiliates under Section 3.6(c)(v))</w:t>
      </w:r>
      <w:r>
        <w:rPr/>
        <w:t xml:space="preserve"> in connection with such Subsequent Sale, </w:t>
      </w:r>
      <w:r>
        <w:rPr>
          <w:strike/>
        </w:rPr>
        <w:t>including any expenses paid by Buyer or Seller under the Brokerage Agreement,</w:t>
      </w:r>
      <w:r>
        <w:rPr/>
        <w:t xml:space="preserve">(b) $25,500,000, and (c) the amount by which Buyer’s Priority Return exceeds all distributions received from NCPH by Buyer and (without duplication) </w:t>
      </w:r>
      <w:r>
        <w:rPr>
          <w:b/>
          <w:bCs/>
          <w:u w:val="double"/>
        </w:rPr>
        <w:t>net</w:t>
      </w:r>
      <w:r>
        <w:rPr/>
        <w:t xml:space="preserve"> operating profits realized by Buyer from the operation of the Facilities.</w:t>
      </w:r>
    </w:p>
    <w:p>
      <w:pPr>
        <w:pStyle w:val="Normal"/>
        <w:widowControl/>
        <w:rPr/>
      </w:pPr>
      <w:r>
        <w:rPr/>
      </w:r>
    </w:p>
    <w:p>
      <w:pPr>
        <w:pStyle w:val="Normal"/>
        <w:widowControl/>
        <w:rPr/>
      </w:pPr>
      <w:r>
        <w:rPr/>
        <w:t>“</w:t>
      </w:r>
      <w:r>
        <w:rPr>
          <w:i/>
          <w:iCs/>
        </w:rPr>
        <w:t>Failed Sale</w:t>
      </w:r>
      <w:r>
        <w:rPr/>
        <w:t xml:space="preserve">” has the meaning set forth in </w:t>
      </w:r>
      <w:r>
        <w:rPr>
          <w:u w:val="single"/>
        </w:rPr>
        <w:t>Section 3.6(a)</w:t>
      </w:r>
      <w:r>
        <w:rPr/>
        <w:t>.</w:t>
      </w:r>
    </w:p>
    <w:p>
      <w:pPr>
        <w:pStyle w:val="Normal"/>
        <w:widowControl/>
        <w:rPr/>
      </w:pPr>
      <w:r>
        <w:rPr/>
      </w:r>
    </w:p>
    <w:p>
      <w:pPr>
        <w:pStyle w:val="Normal"/>
        <w:widowControl/>
        <w:rPr/>
      </w:pPr>
      <w:r>
        <w:rPr/>
        <w:t>“</w:t>
      </w:r>
      <w:r>
        <w:rPr>
          <w:i/>
          <w:iCs/>
        </w:rPr>
        <w:t>Financial Hedge</w:t>
      </w:r>
      <w:r>
        <w:rPr/>
        <w:t xml:space="preserve">” has the meaning set forth in </w:t>
      </w:r>
      <w:r>
        <w:rPr>
          <w:u w:val="single"/>
        </w:rPr>
        <w:t>Section 3.6(c)</w:t>
      </w:r>
      <w:r>
        <w:rPr/>
        <w:t>.</w:t>
      </w:r>
    </w:p>
    <w:p>
      <w:pPr>
        <w:pStyle w:val="Normal"/>
        <w:widowControl/>
        <w:rPr/>
      </w:pPr>
      <w:r>
        <w:rPr/>
      </w:r>
    </w:p>
    <w:p>
      <w:pPr>
        <w:pStyle w:val="Normal"/>
        <w:widowControl/>
        <w:rPr/>
      </w:pPr>
      <w:r>
        <w:rPr/>
        <w:t>“</w:t>
      </w:r>
      <w:r>
        <w:rPr>
          <w:i/>
          <w:iCs/>
        </w:rPr>
        <w:t>Initial Purchase Price</w:t>
      </w:r>
      <w:r>
        <w:rPr/>
        <w:t xml:space="preserve">” is defined in </w:t>
      </w:r>
      <w:r>
        <w:rPr>
          <w:u w:val="single"/>
        </w:rPr>
        <w:t>Section 3.1</w:t>
      </w:r>
      <w:r>
        <w:rPr/>
        <w:t>. [</w:t>
      </w:r>
      <w:r>
        <w:rPr>
          <w:b/>
          <w:bCs/>
        </w:rPr>
        <w:t>Replace existing defined term “Purchase Price” where used in Agreement.</w:t>
      </w:r>
      <w:r>
        <w:rPr/>
        <w:t>]</w:t>
      </w:r>
    </w:p>
    <w:p>
      <w:pPr>
        <w:pStyle w:val="FootnoteText"/>
        <w:widowControl/>
        <w:rPr/>
      </w:pPr>
      <w:r>
        <w:rPr/>
      </w:r>
    </w:p>
    <w:p>
      <w:pPr>
        <w:pStyle w:val="Normal"/>
        <w:widowControl/>
        <w:rPr/>
      </w:pPr>
      <w:r>
        <w:rPr/>
        <w:t>“</w:t>
      </w:r>
      <w:r>
        <w:rPr>
          <w:i/>
          <w:iCs/>
        </w:rPr>
        <w:t>Into TVA Index</w:t>
      </w:r>
      <w:r>
        <w:rPr/>
        <w:t xml:space="preserve">” means the average of the daily prices as published in </w:t>
      </w:r>
      <w:r>
        <w:rPr>
          <w:i/>
          <w:iCs/>
        </w:rPr>
        <w:t>Megawatt Daily</w:t>
      </w:r>
      <w:r>
        <w:rPr/>
        <w:t xml:space="preserve">’s Market Report under the headings "Trades for Standard 16-Hour Daily Products; Weighted Average Index; TVA, into" for electricity during “On-Peak Hours.” </w:t>
      </w:r>
    </w:p>
    <w:p>
      <w:pPr>
        <w:pStyle w:val="FootnoteText"/>
        <w:widowControl/>
        <w:rPr/>
      </w:pPr>
      <w:r>
        <w:rPr/>
      </w:r>
    </w:p>
    <w:p>
      <w:pPr>
        <w:pStyle w:val="Normal"/>
        <w:widowControl/>
        <w:rPr/>
      </w:pPr>
      <w:r>
        <w:rPr/>
        <w:t>“</w:t>
      </w:r>
      <w:r>
        <w:rPr>
          <w:i/>
          <w:iCs/>
        </w:rPr>
        <w:t>Off-Take Agreement</w:t>
      </w:r>
      <w:r>
        <w:rPr/>
        <w:t xml:space="preserve">” has the meaning set forth in </w:t>
      </w:r>
      <w:r>
        <w:rPr>
          <w:u w:val="single"/>
        </w:rPr>
        <w:t>Section 3.6(c)</w:t>
      </w:r>
      <w:r>
        <w:rPr/>
        <w:t>.</w:t>
      </w:r>
    </w:p>
    <w:p>
      <w:pPr>
        <w:pStyle w:val="Normal"/>
        <w:widowControl/>
        <w:rPr/>
      </w:pPr>
      <w:r>
        <w:rPr/>
      </w:r>
    </w:p>
    <w:p>
      <w:pPr>
        <w:pStyle w:val="Normal"/>
        <w:widowControl/>
        <w:rPr/>
      </w:pPr>
      <w:r>
        <w:rPr/>
        <w:t>“</w:t>
      </w:r>
      <w:r>
        <w:rPr>
          <w:i/>
          <w:iCs/>
        </w:rPr>
        <w:t>Off-Take Maturity Date</w:t>
      </w:r>
      <w:r>
        <w:rPr/>
        <w:t xml:space="preserve">” has the meaning set forth in </w:t>
      </w:r>
      <w:r>
        <w:rPr>
          <w:u w:val="single"/>
        </w:rPr>
        <w:t>Section 3.6(c)(ii)</w:t>
      </w:r>
      <w:r>
        <w:rPr/>
        <w:t>.</w:t>
      </w:r>
    </w:p>
    <w:p>
      <w:pPr>
        <w:pStyle w:val="Normal"/>
        <w:widowControl/>
        <w:rPr/>
      </w:pPr>
      <w:r>
        <w:rPr/>
      </w:r>
    </w:p>
    <w:p>
      <w:pPr>
        <w:pStyle w:val="Normal"/>
        <w:widowControl/>
        <w:rPr/>
      </w:pPr>
      <w:r>
        <w:rPr/>
        <w:t>“</w:t>
      </w:r>
      <w:r>
        <w:rPr>
          <w:i/>
          <w:iCs/>
        </w:rPr>
        <w:t>Proceeds</w:t>
      </w:r>
      <w:r>
        <w:rPr/>
        <w:t xml:space="preserve">” shall mean the total </w:t>
      </w:r>
      <w:r>
        <w:rPr>
          <w:strike/>
        </w:rPr>
        <w:t>proceeds and other consideration paid and to be paid or contributed and to be contributed</w:t>
      </w:r>
      <w:r>
        <w:rPr/>
        <w:t xml:space="preserve"> </w:t>
      </w:r>
      <w:r>
        <w:rPr>
          <w:b/>
          <w:bCs/>
          <w:u w:val="double"/>
        </w:rPr>
        <w:t>cash proceeds paid</w:t>
      </w:r>
      <w:r>
        <w:rPr/>
        <w:t>, directly or indirectly, in connection with a Subsequent Sale (which consideration shall be deemed to include amounts paid or to be paid into escrow).</w:t>
      </w:r>
    </w:p>
    <w:p>
      <w:pPr>
        <w:pStyle w:val="Normal"/>
        <w:widowControl/>
        <w:rPr/>
      </w:pPr>
      <w:r>
        <w:rPr/>
      </w:r>
    </w:p>
    <w:p>
      <w:pPr>
        <w:pStyle w:val="Normal"/>
        <w:widowControl/>
        <w:rPr/>
      </w:pPr>
      <w:r>
        <w:rPr/>
        <w:t>“</w:t>
      </w:r>
      <w:r>
        <w:rPr>
          <w:i/>
          <w:iCs/>
        </w:rPr>
        <w:t>Purchase Price</w:t>
      </w:r>
      <w:r>
        <w:rPr/>
        <w:t>” shall mean the Initial Purchase Price together with any Contingent Consideration.</w:t>
      </w:r>
    </w:p>
    <w:p>
      <w:pPr>
        <w:pStyle w:val="Normal"/>
        <w:widowControl/>
        <w:rPr/>
      </w:pPr>
      <w:r>
        <w:rPr/>
      </w:r>
    </w:p>
    <w:p>
      <w:pPr>
        <w:pStyle w:val="Normal"/>
        <w:widowControl/>
        <w:rPr/>
      </w:pPr>
      <w:r>
        <w:rPr/>
        <w:t>“</w:t>
      </w:r>
      <w:r>
        <w:rPr>
          <w:i/>
          <w:iCs/>
        </w:rPr>
        <w:t>Subsequent Sale</w:t>
      </w:r>
      <w:r>
        <w:rPr/>
        <w:t xml:space="preserve">” shall mean the execution of a binding written </w:t>
      </w:r>
      <w:r>
        <w:rPr>
          <w:b/>
          <w:bCs/>
          <w:u w:val="double"/>
        </w:rPr>
        <w:t>definitive</w:t>
      </w:r>
      <w:r>
        <w:rPr/>
        <w:t xml:space="preserve"> agreement following the Closing Date between Buyer or NCPH and a Third-Party Purchaser, providing for, whether in one or in a series of </w:t>
      </w:r>
      <w:r>
        <w:rPr>
          <w:b/>
          <w:bCs/>
          <w:u w:val="double"/>
        </w:rPr>
        <w:t>contemporaneous</w:t>
      </w:r>
      <w:r>
        <w:rPr/>
        <w:t xml:space="preserve"> transactions,  (i) any merger or consolidation of NCPH and a Third-Party Purchaser, (ii) the acquisition by a Third-Party Purchaser, directly or indirectly, through public or private purchases, sales or otherwise of all the securities, assets, properties and/or businesses of NCPH, including, without limitation, a sale </w:t>
      </w:r>
      <w:r>
        <w:rPr>
          <w:b/>
          <w:bCs/>
          <w:u w:val="double"/>
        </w:rPr>
        <w:t>[</w:t>
      </w:r>
      <w:r>
        <w:rPr/>
        <w:t>or exchange</w:t>
      </w:r>
      <w:r>
        <w:rPr>
          <w:b/>
          <w:bCs/>
          <w:u w:val="double"/>
        </w:rPr>
        <w:t>]</w:t>
      </w:r>
      <w:r>
        <w:rPr/>
        <w:t xml:space="preserve"> of capital stock or assets, or a sale of the Facilities, or (iii) the formation by Buyer or NCPH and a Third-Party Purchaser, directly or indirectly, of a joint venture, partnership or other vehicle for the purposes of combining all of the securities, assets, properties and/or businesses of NCPH and a Third-Party Purchaser</w:t>
      </w:r>
      <w:r>
        <w:rPr>
          <w:strike/>
        </w:rPr>
        <w:t>, or jointly pursuing a business activity</w:t>
      </w:r>
      <w:r>
        <w:rPr/>
        <w:t>.</w:t>
      </w:r>
    </w:p>
    <w:p>
      <w:pPr>
        <w:pStyle w:val="Normal"/>
        <w:widowControl/>
        <w:rPr/>
      </w:pPr>
      <w:r>
        <w:rPr/>
      </w:r>
    </w:p>
    <w:p>
      <w:pPr>
        <w:pStyle w:val="Normal"/>
        <w:widowControl/>
        <w:rPr/>
      </w:pPr>
      <w:r>
        <w:rPr/>
        <w:t xml:space="preserve"> “</w:t>
      </w:r>
      <w:r>
        <w:rPr>
          <w:i/>
          <w:iCs/>
        </w:rPr>
        <w:t>Third-Party Purchaser</w:t>
      </w:r>
      <w:r>
        <w:rPr/>
        <w:t>” shall mean a third-party purchaser of the LLC Interests or the Facilities.</w:t>
      </w:r>
      <w:r>
        <w:br w:type="page"/>
      </w:r>
    </w:p>
    <w:p>
      <w:pPr>
        <w:pStyle w:val="FootnoteText"/>
        <w:widowControl/>
        <w:rPr/>
      </w:pPr>
      <w:r>
        <w:rPr/>
      </w:r>
    </w:p>
    <w:p>
      <w:pPr>
        <w:pStyle w:val="Normal"/>
        <w:widowControl/>
        <w:ind w:firstLine="720" w:end="0"/>
        <w:rPr/>
      </w:pPr>
      <w:r>
        <w:rPr>
          <w:b/>
          <w:bCs/>
          <w:u w:val="double"/>
        </w:rPr>
        <w:t>[</w:t>
      </w:r>
      <w:r>
        <w:rPr/>
        <w:t xml:space="preserve">3.1 </w:t>
      </w:r>
      <w:r>
        <w:rPr>
          <w:u w:val="single"/>
        </w:rPr>
        <w:t>Purchase Price</w:t>
      </w:r>
      <w:r>
        <w:rPr/>
        <w:t xml:space="preserve">. The initial purchase price for the LLC Interests is $26,265,000 (the </w:t>
      </w:r>
      <w:r>
        <w:rPr>
          <w:i/>
          <w:iCs/>
        </w:rPr>
        <w:t>“Initial Purchase Price</w:t>
      </w:r>
      <w:r>
        <w:rPr/>
        <w:t>”), subject to adjustment as provided below.  The “</w:t>
      </w:r>
      <w:r>
        <w:rPr>
          <w:i/>
          <w:iCs/>
        </w:rPr>
        <w:t>Initial Adjusted Purchase Price</w:t>
      </w:r>
      <w:r>
        <w:rPr/>
        <w:t xml:space="preserve">” shall be the Initial Purchase Price adjusted as follows </w:t>
      </w:r>
      <w:r>
        <w:rPr>
          <w:b/>
          <w:bCs/>
          <w:u w:val="double"/>
        </w:rPr>
        <w:t>(without duplication)</w:t>
      </w:r>
      <w:r>
        <w:rPr/>
        <w:t>:</w:t>
      </w:r>
    </w:p>
    <w:p>
      <w:pPr>
        <w:pStyle w:val="Normal"/>
        <w:widowControl/>
        <w:rPr/>
      </w:pPr>
      <w:r>
        <w:rPr/>
      </w:r>
    </w:p>
    <w:p>
      <w:pPr>
        <w:pStyle w:val="Corporate3"/>
        <w:widowControl/>
        <w:numPr>
          <w:ilvl w:val="0"/>
          <w:numId w:val="2"/>
        </w:numPr>
        <w:ind w:hanging="360" w:start="1080"/>
        <w:rPr/>
      </w:pPr>
      <w:r>
        <w:rPr/>
        <w:t xml:space="preserve">subject to </w:t>
      </w:r>
      <w:r>
        <w:rPr>
          <w:strike/>
          <w:u w:val="single"/>
        </w:rPr>
        <w:t>Section 7.1(c)(iii)</w:t>
      </w:r>
      <w:r>
        <w:rPr>
          <w:u w:val="single"/>
        </w:rPr>
        <w:t xml:space="preserve"> </w:t>
      </w:r>
      <w:r>
        <w:rPr>
          <w:b/>
          <w:bCs/>
          <w:u w:val="double"/>
        </w:rPr>
        <w:t>Sections 7.1 and 7.2</w:t>
      </w:r>
      <w:r>
        <w:rPr/>
        <w:t>, adjusted upward by the amount of all costs and expenses attributable to NCPH or the NCPH Companies for the period after the Effective Date (including Taxes and capital expenditures) which are paid by or on behalf of Seller during the period after the Effective Date and prior to the Closing Date;</w:t>
      </w:r>
    </w:p>
    <w:p>
      <w:pPr>
        <w:pStyle w:val="Corporate3"/>
        <w:widowControl/>
        <w:numPr>
          <w:ilvl w:val="0"/>
          <w:numId w:val="2"/>
        </w:numPr>
        <w:ind w:hanging="360" w:start="1080"/>
        <w:rPr/>
      </w:pPr>
      <w:r>
        <w:rPr/>
        <w:t>adjusted downward by the amount of all revenues attributable to NCPH or the NCPH Companies for the period after the Effective Date which are collected by or on behalf of Seller from the Effective Date and prior to the Closing Date; and</w:t>
      </w:r>
    </w:p>
    <w:p>
      <w:pPr>
        <w:pStyle w:val="Corporate3"/>
        <w:widowControl/>
        <w:numPr>
          <w:ilvl w:val="0"/>
          <w:numId w:val="2"/>
        </w:numPr>
        <w:ind w:hanging="360" w:start="1080"/>
        <w:rPr/>
      </w:pPr>
      <w:r>
        <w:rPr/>
        <w:t>adjusted by any other amount specifically provided for in this Agreement or agreed by the Parties in writing.</w:t>
      </w:r>
      <w:r>
        <w:rPr>
          <w:b/>
          <w:bCs/>
          <w:u w:val="double"/>
        </w:rPr>
        <w:t>][</w:t>
      </w:r>
      <w:r>
        <w:rPr>
          <w:b/>
          <w:bCs/>
          <w:i/>
          <w:iCs/>
          <w:u w:val="double"/>
        </w:rPr>
        <w:t>UNDER REVIEW</w:t>
      </w:r>
      <w:r>
        <w:rPr>
          <w:b/>
          <w:bCs/>
          <w:u w:val="double"/>
        </w:rPr>
        <w:t>]</w:t>
      </w:r>
    </w:p>
    <w:p>
      <w:pPr>
        <w:pStyle w:val="Corporate3"/>
        <w:widowControl/>
        <w:numPr>
          <w:ilvl w:val="0"/>
          <w:numId w:val="2"/>
        </w:numPr>
        <w:ind w:hanging="1080" w:start="2160" w:end="0"/>
        <w:rPr/>
      </w:pPr>
      <w:r>
        <w:rPr/>
      </w:r>
    </w:p>
    <w:p>
      <w:pPr>
        <w:pStyle w:val="Heading2"/>
        <w:widowControl/>
        <w:tabs>
          <w:tab w:val="left" w:pos="720" w:leader="none"/>
          <w:tab w:val="left" w:pos="1080" w:leader="none"/>
        </w:tabs>
        <w:ind w:firstLine="720" w:start="0" w:end="0"/>
        <w:rPr>
          <w:u w:val="single"/>
        </w:rPr>
      </w:pPr>
      <w:r>
        <w:rPr/>
        <w:t>3.6</w:t>
        <w:tab/>
      </w:r>
      <w:r>
        <w:rPr>
          <w:u w:val="single"/>
        </w:rPr>
        <w:t>Contingent Consideration</w:t>
      </w:r>
      <w:r>
        <w:rPr/>
        <w:t>.  As additional consideration for the sale of the LLC Interests by Seller to Buyer, Buyer agrees to pay to Seller, out of any Excess Proceeds received by Buyer from any Subsequent Sale, an amount equal to the product of the Excess Proceeds multiplied by the Applicable Percentage (the “</w:t>
      </w:r>
      <w:r>
        <w:rPr>
          <w:i/>
          <w:iCs/>
        </w:rPr>
        <w:t>Contingent Consideration</w:t>
      </w:r>
      <w:r>
        <w:rPr/>
        <w:t>”).</w:t>
      </w:r>
      <w:r>
        <w:rPr>
          <w:b/>
          <w:bCs/>
          <w:u w:val="double"/>
        </w:rPr>
        <w:t xml:space="preserve">  Seller shall immediately pay, on behalf of Buyer, the Commission due to ECT under the Brokerage Agreement.</w:t>
      </w:r>
    </w:p>
    <w:p>
      <w:pPr>
        <w:pStyle w:val="Corporate3"/>
        <w:widowControl/>
        <w:numPr>
          <w:ilvl w:val="0"/>
          <w:numId w:val="2"/>
        </w:numPr>
        <w:ind w:hanging="360" w:start="1080"/>
        <w:rPr/>
      </w:pPr>
      <w:r>
        <w:rPr/>
        <w:t>(a)</w:t>
        <w:tab/>
        <w:t>If a Subsequent Sale is not consummated for any reason (a “</w:t>
      </w:r>
      <w:r>
        <w:rPr>
          <w:i/>
          <w:iCs/>
        </w:rPr>
        <w:t>Failed Sale</w:t>
      </w:r>
      <w:r>
        <w:rPr/>
        <w:t xml:space="preserve">”) other than as a result of </w:t>
      </w:r>
      <w:r>
        <w:rPr>
          <w:strike/>
        </w:rPr>
        <w:t>actions not taken in good faith</w:t>
      </w:r>
      <w:r>
        <w:rPr>
          <w:b/>
          <w:bCs/>
          <w:u w:val="double"/>
        </w:rPr>
        <w:t xml:space="preserve">(i) Seller or its Affiliates’ breach of a Transaction Document or (ii) negligent or bad faith actions taken </w:t>
      </w:r>
      <w:r>
        <w:rPr/>
        <w:t xml:space="preserve">by Seller or its Affiliates, and a later Subsequent Sale occurs with the same or different third party which is consummated, for purposes of determining the Applicable Percentage, the execution date of the definitive agreement relating to such Failed Sale shall be deemed to be the date of such Subsequent Sale.  If a Failed Sale occurs </w:t>
      </w:r>
      <w:r>
        <w:rPr>
          <w:strike/>
        </w:rPr>
        <w:t>for any reason other than as a result of actions not taken in good faith</w:t>
      </w:r>
      <w:r>
        <w:rPr/>
        <w:t xml:space="preserve"> </w:t>
      </w:r>
      <w:r>
        <w:rPr>
          <w:b/>
          <w:bCs/>
          <w:u w:val="double"/>
        </w:rPr>
        <w:t xml:space="preserve">as a result of (i) Seller or its Affiliates’ breach of a Transaction Document or (ii) negligent or bad faith actions taken </w:t>
      </w:r>
      <w:r>
        <w:rPr/>
        <w:t>by Seller or its Affiliates, and a later Subsequent Sale occurs with the same or different third party which is consummated, for purposes of determining the Applicable Percentage, the execution date of the definitive agreement relating to the later Subsequent Sale shall be deemed to be the date of such Subsequent Sale.</w:t>
      </w:r>
    </w:p>
    <w:p>
      <w:pPr>
        <w:pStyle w:val="Normal"/>
        <w:widowControl/>
        <w:tabs>
          <w:tab w:val="left" w:pos="720" w:leader="none"/>
        </w:tabs>
        <w:spacing w:before="0" w:after="120"/>
        <w:ind w:firstLine="720" w:end="0"/>
        <w:rPr/>
      </w:pPr>
      <w:r>
        <w:rPr/>
        <w:t>(b)</w:t>
        <w:tab/>
        <w:t xml:space="preserve">Buyer and Seller acknowledge that Buyer’s willingness to pay the Contingent Consideration to Seller was an important consideration in Seller’s election to sell the LLC Interests to Buyer and a of material value to Seller. Accordingly, Buyer agrees to use commercially reasonable efforts to achieve a Subsequent Sale on </w:t>
      </w:r>
      <w:r>
        <w:rPr>
          <w:b/>
          <w:bCs/>
          <w:u w:val="double"/>
        </w:rPr>
        <w:t>terms</w:t>
      </w:r>
      <w:r>
        <w:rPr/>
        <w:t xml:space="preserve"> favorable </w:t>
      </w:r>
      <w:r>
        <w:rPr>
          <w:strike/>
        </w:rPr>
        <w:t>terms</w:t>
      </w:r>
      <w:r>
        <w:rPr/>
        <w:t xml:space="preserve"> </w:t>
      </w:r>
      <w:r>
        <w:rPr>
          <w:b/>
          <w:bCs/>
          <w:u w:val="double"/>
        </w:rPr>
        <w:t>to it</w:t>
      </w:r>
      <w:r>
        <w:rPr/>
        <w:t xml:space="preserve">.  Buyer shall be obligated to enter into and consummate any </w:t>
      </w:r>
      <w:r>
        <w:rPr>
          <w:strike/>
        </w:rPr>
        <w:t>Subsequent Sale that will result in the payment of the</w:t>
      </w:r>
      <w:r>
        <w:rPr/>
        <w:t xml:space="preserve"> </w:t>
      </w:r>
      <w:r>
        <w:rPr>
          <w:b/>
          <w:bCs/>
          <w:u w:val="double"/>
        </w:rPr>
        <w:t>Sale which will provide Proceeds sufficient to pay a</w:t>
      </w:r>
      <w:r>
        <w:rPr/>
        <w:t xml:space="preserve"> Contingent Consideration </w:t>
      </w:r>
      <w:r>
        <w:rPr>
          <w:strike/>
        </w:rPr>
        <w:t>to Seller</w:t>
      </w:r>
      <w:r>
        <w:rPr/>
        <w:t>, and, if Buyer receives more than one offer, Buyer shall be obligated to take the highest offered price; provided that</w:t>
      </w:r>
      <w:r>
        <w:rPr>
          <w:strike/>
        </w:rPr>
        <w:t>, in no event shall Buyer be obligated to enter into or consummate any Subsequent Sale if (a)</w:t>
      </w:r>
      <w:r>
        <w:rPr/>
        <w:t xml:space="preserve"> </w:t>
      </w:r>
      <w:r>
        <w:rPr>
          <w:b/>
          <w:bCs/>
          <w:u w:val="double"/>
        </w:rPr>
        <w:t xml:space="preserve">in no event shall Buyer be obligated to enter into or consummate any Sale if: </w:t>
      </w:r>
    </w:p>
    <w:p>
      <w:pPr>
        <w:pStyle w:val="Normal"/>
        <w:widowControl/>
        <w:tabs>
          <w:tab w:val="left" w:pos="720" w:leader="none"/>
        </w:tabs>
        <w:spacing w:before="0" w:after="120"/>
        <w:ind w:hanging="1080" w:start="2160" w:end="0"/>
        <w:rPr/>
      </w:pPr>
      <w:r>
        <w:rPr>
          <w:b/>
          <w:bCs/>
          <w:u w:val="double"/>
        </w:rPr>
        <w:t xml:space="preserve">(i) </w:t>
      </w:r>
      <w:r>
        <w:rPr/>
        <w:tab/>
      </w:r>
      <w:r>
        <w:rPr>
          <w:b/>
          <w:bCs/>
          <w:u w:val="double"/>
        </w:rPr>
        <w:t xml:space="preserve">the terms and conditions set out in the agreement governing such Sale are more onerous in any material respect on Buyer than those set out in this Agreement and applicable to Seller hereunder; provided that, without limiting the foregoing, for the avoidance of doubt, if any representation and warranty required by any potential Third-Party Purchaser in connection with a proposed Sale does not: </w:t>
      </w:r>
    </w:p>
    <w:p>
      <w:pPr>
        <w:pStyle w:val="Normal"/>
        <w:widowControl/>
        <w:tabs>
          <w:tab w:val="left" w:pos="720" w:leader="none"/>
        </w:tabs>
        <w:spacing w:before="0" w:after="120"/>
        <w:ind w:hanging="720" w:start="2880" w:end="0"/>
        <w:rPr/>
      </w:pPr>
      <w:r>
        <w:rPr>
          <w:b/>
          <w:bCs/>
          <w:u w:val="double"/>
        </w:rPr>
        <w:t xml:space="preserve">(A) </w:t>
      </w:r>
      <w:r>
        <w:rPr/>
        <w:tab/>
      </w:r>
      <w:r>
        <w:rPr>
          <w:b/>
          <w:bCs/>
          <w:u w:val="double"/>
        </w:rPr>
        <w:t xml:space="preserve">contain a qualification limiting Buyer’s representation to its Knowledge  where the representation and warranty on the same subject matter in this Agreement is so qualified as made by Seller thereunder; or </w:t>
      </w:r>
    </w:p>
    <w:p>
      <w:pPr>
        <w:pStyle w:val="Normal"/>
        <w:widowControl/>
        <w:tabs>
          <w:tab w:val="left" w:pos="720" w:leader="none"/>
        </w:tabs>
        <w:spacing w:before="0" w:after="120"/>
        <w:ind w:hanging="720" w:start="2880" w:end="0"/>
        <w:rPr/>
      </w:pPr>
      <w:r>
        <w:rPr>
          <w:b/>
          <w:bCs/>
          <w:u w:val="double"/>
        </w:rPr>
        <w:t xml:space="preserve">(B) </w:t>
      </w:r>
      <w:r>
        <w:rPr/>
        <w:tab/>
      </w:r>
      <w:r>
        <w:rPr>
          <w:b/>
          <w:bCs/>
          <w:u w:val="double"/>
        </w:rPr>
        <w:t xml:space="preserve">contain a materiality qualification where the representation and warranty on the same subject matter in this Agreement is so qualified as made by Seller thereunder, </w:t>
      </w:r>
    </w:p>
    <w:p>
      <w:pPr>
        <w:pStyle w:val="Normal"/>
        <w:widowControl/>
        <w:tabs>
          <w:tab w:val="left" w:pos="720" w:leader="none"/>
        </w:tabs>
        <w:spacing w:before="0" w:after="120"/>
        <w:ind w:hanging="1080" w:start="2160" w:end="0"/>
        <w:rPr/>
      </w:pPr>
      <w:r>
        <w:rPr/>
        <w:tab/>
      </w:r>
      <w:r>
        <w:rPr>
          <w:b/>
          <w:bCs/>
          <w:u w:val="double"/>
        </w:rPr>
        <w:t>the requirement that Buyer make such representation and warranty will be conclusively deemed to cause</w:t>
      </w:r>
      <w:r>
        <w:rPr/>
        <w:t xml:space="preserve"> the terms and conditions set out in the </w:t>
      </w:r>
      <w:r>
        <w:rPr>
          <w:strike/>
        </w:rPr>
        <w:t>purchase and sale</w:t>
      </w:r>
      <w:r>
        <w:rPr/>
        <w:t xml:space="preserve"> agreement governing such </w:t>
      </w:r>
      <w:r>
        <w:rPr>
          <w:strike/>
        </w:rPr>
        <w:t>Subsequent Sale are materially more onerous on Buyer (as the “seller” thereunder)</w:t>
      </w:r>
      <w:r>
        <w:rPr/>
        <w:t xml:space="preserve"> </w:t>
      </w:r>
      <w:r>
        <w:rPr>
          <w:b/>
          <w:bCs/>
          <w:u w:val="double"/>
        </w:rPr>
        <w:t xml:space="preserve">Sale to be more onerous in a material respect on Buyer </w:t>
      </w:r>
      <w:r>
        <w:rPr/>
        <w:t xml:space="preserve">than those set out in this Agreement and applicable to Seller </w:t>
      </w:r>
      <w:r>
        <w:rPr>
          <w:strike/>
        </w:rPr>
        <w:t>or (b)</w:t>
      </w:r>
      <w:r>
        <w:rPr/>
        <w:t xml:space="preserve"> </w:t>
      </w:r>
      <w:r>
        <w:rPr>
          <w:b/>
          <w:bCs/>
          <w:u w:val="double"/>
        </w:rPr>
        <w:t xml:space="preserve">thereunder; </w:t>
      </w:r>
    </w:p>
    <w:p>
      <w:pPr>
        <w:pStyle w:val="Normal"/>
        <w:widowControl/>
        <w:tabs>
          <w:tab w:val="left" w:pos="720" w:leader="none"/>
        </w:tabs>
        <w:spacing w:before="0" w:after="120"/>
        <w:ind w:hanging="1080" w:start="2160" w:end="0"/>
        <w:rPr/>
      </w:pPr>
      <w:r>
        <w:rPr>
          <w:b/>
          <w:bCs/>
          <w:u w:val="double"/>
        </w:rPr>
        <w:t>(ii)</w:t>
      </w:r>
      <w:r>
        <w:rPr/>
        <w:t xml:space="preserve"> </w:t>
        <w:tab/>
        <w:t xml:space="preserve">such </w:t>
      </w:r>
      <w:r>
        <w:rPr>
          <w:strike/>
        </w:rPr>
        <w:t>Subsequent</w:t>
      </w:r>
      <w:r>
        <w:rPr/>
        <w:t xml:space="preserve"> Sale would not result in </w:t>
      </w:r>
      <w:r>
        <w:rPr>
          <w:strike/>
        </w:rPr>
        <w:t>the payment of any</w:t>
      </w:r>
      <w:r>
        <w:rPr/>
        <w:t xml:space="preserve"> </w:t>
      </w:r>
      <w:r>
        <w:rPr>
          <w:b/>
          <w:bCs/>
          <w:u w:val="double"/>
        </w:rPr>
        <w:t>a distribution of Proceeds sufficient to pay a</w:t>
      </w:r>
      <w:r>
        <w:rPr/>
        <w:t xml:space="preserve"> Contingent Consideration</w:t>
      </w:r>
      <w:r>
        <w:rPr>
          <w:b/>
          <w:bCs/>
          <w:u w:val="double"/>
        </w:rPr>
        <w:t xml:space="preserve">; or </w:t>
      </w:r>
    </w:p>
    <w:p>
      <w:pPr>
        <w:pStyle w:val="Normal"/>
        <w:widowControl/>
        <w:tabs>
          <w:tab w:val="left" w:pos="720" w:leader="none"/>
        </w:tabs>
        <w:spacing w:before="0" w:after="120"/>
        <w:ind w:hanging="1080" w:start="2160" w:end="0"/>
        <w:rPr>
          <w:b/>
          <w:bCs/>
          <w:u w:val="double"/>
        </w:rPr>
      </w:pPr>
      <w:r>
        <w:rPr>
          <w:b/>
          <w:bCs/>
          <w:u w:val="double"/>
        </w:rPr>
        <w:t xml:space="preserve">(iii) </w:t>
      </w:r>
      <w:r>
        <w:rPr/>
        <w:tab/>
      </w:r>
      <w:r>
        <w:rPr>
          <w:b/>
          <w:bCs/>
          <w:u w:val="double"/>
        </w:rPr>
        <w:t>Third-Party Purchaser is not reasonably acceptable to Buyer</w:t>
      </w:r>
      <w:r>
        <w:rPr/>
        <w:t xml:space="preserve">. </w:t>
      </w:r>
    </w:p>
    <w:p>
      <w:pPr>
        <w:pStyle w:val="Normal"/>
        <w:widowControl/>
        <w:tabs>
          <w:tab w:val="left" w:pos="720" w:leader="none"/>
        </w:tabs>
        <w:spacing w:before="0" w:after="120"/>
        <w:rPr>
          <w:b/>
          <w:bCs/>
          <w:u w:val="double"/>
        </w:rPr>
      </w:pPr>
      <w:r>
        <w:rPr>
          <w:b/>
          <w:bCs/>
          <w:u w:val="double"/>
        </w:rPr>
      </w:r>
    </w:p>
    <w:p>
      <w:pPr>
        <w:pStyle w:val="Normal"/>
        <w:widowControl/>
        <w:pBdr>
          <w:bottom w:val="single" w:sz="12" w:space="1" w:color="000000"/>
        </w:pBdr>
        <w:tabs>
          <w:tab w:val="left" w:pos="720" w:leader="none"/>
        </w:tabs>
        <w:spacing w:before="0" w:after="120"/>
        <w:rPr/>
      </w:pPr>
      <w:r>
        <w:rPr/>
        <w:t xml:space="preserve">In no event will Buyer enter into or consummate any Subsequent Sale in which the Proceeds therefrom are paid in installments or in other than a single transaction, or consist of consideration other than cash payable at closing, without the prior written consent of Seller, which approval may be withheld in Seller’s sole discretion </w:t>
      </w:r>
      <w:r>
        <w:rPr>
          <w:b/>
          <w:bCs/>
          <w:u w:val="double"/>
        </w:rPr>
        <w:t>and in no event will Buyer be obligated hereunder to enter into or consummate any such Subsequent Sale</w:t>
      </w:r>
      <w:r>
        <w:rPr/>
        <w:t>.</w:t>
      </w:r>
    </w:p>
    <w:p>
      <w:pPr>
        <w:pStyle w:val="Normal"/>
        <w:widowControl/>
        <w:tabs>
          <w:tab w:val="left" w:pos="720" w:leader="none"/>
        </w:tabs>
        <w:spacing w:before="0" w:after="120"/>
        <w:rPr/>
      </w:pPr>
      <w:r>
        <w:rPr/>
      </w:r>
    </w:p>
    <w:p>
      <w:pPr>
        <w:pStyle w:val="Corporate3"/>
        <w:widowControl/>
        <w:numPr>
          <w:ilvl w:val="0"/>
          <w:numId w:val="2"/>
        </w:numPr>
        <w:ind w:hanging="1080" w:start="2160" w:end="0"/>
        <w:rPr/>
      </w:pPr>
      <w:r>
        <w:rPr/>
        <w:t>(c)</w:t>
        <w:tab/>
        <w:t xml:space="preserve">If a Subsequent Sale has not been entered into </w:t>
      </w:r>
      <w:r>
        <w:rPr>
          <w:strike/>
        </w:rPr>
        <w:t>as of</w:t>
      </w:r>
      <w:r>
        <w:rPr/>
        <w:t xml:space="preserve"> </w:t>
      </w:r>
      <w:r>
        <w:rPr>
          <w:b/>
          <w:bCs/>
          <w:u w:val="double"/>
        </w:rPr>
        <w:t>on or prior to</w:t>
      </w:r>
      <w:r>
        <w:rPr/>
        <w:t xml:space="preserve"> November 1, 2001 for any reason other than Buyer’s breach of its obligations under </w:t>
      </w:r>
      <w:r>
        <w:rPr>
          <w:u w:val="single"/>
        </w:rPr>
        <w:t>Section 3.6(b)</w:t>
      </w:r>
      <w:r>
        <w:rPr/>
        <w:t xml:space="preserve"> above, Seller will forfeit its right to receive the Contingent Consideration unless </w:t>
      </w:r>
      <w:r>
        <w:rPr>
          <w:b/>
          <w:bCs/>
          <w:u w:val="double"/>
        </w:rPr>
        <w:t>prior to such date</w:t>
      </w:r>
      <w:r>
        <w:rPr/>
        <w:t xml:space="preserve"> Seller has offered (or cause to be offered) to Buyer </w:t>
      </w:r>
      <w:r>
        <w:rPr>
          <w:strike/>
        </w:rPr>
        <w:t>prior to such date</w:t>
      </w:r>
      <w:r>
        <w:rPr/>
        <w:t xml:space="preserve"> a commercially reasonable proposal from Seller </w:t>
      </w:r>
      <w:r>
        <w:rPr>
          <w:b/>
          <w:bCs/>
          <w:u w:val="double"/>
        </w:rPr>
        <w:t>[</w:t>
      </w:r>
      <w:r>
        <w:rPr/>
        <w:t>or an Affiliate of Seller</w:t>
      </w:r>
      <w:r>
        <w:rPr>
          <w:b/>
          <w:bCs/>
          <w:u w:val="double"/>
        </w:rPr>
        <w:t>]</w:t>
      </w:r>
      <w:r>
        <w:rPr/>
        <w:t xml:space="preserve"> to enter into either the financial hedge arrangement (the “</w:t>
      </w:r>
      <w:r>
        <w:rPr>
          <w:i/>
          <w:iCs/>
        </w:rPr>
        <w:t>Financial Hedge</w:t>
      </w:r>
      <w:r>
        <w:rPr/>
        <w:t>”) or the unit-contingent power off-take agreement (the “</w:t>
      </w:r>
      <w:r>
        <w:rPr>
          <w:i/>
          <w:iCs/>
        </w:rPr>
        <w:t>Off-Take Agreement</w:t>
      </w:r>
      <w:r>
        <w:rPr/>
        <w:t>”) more specifically described below.</w:t>
      </w:r>
    </w:p>
    <w:p>
      <w:pPr>
        <w:pStyle w:val="Corporate4"/>
        <w:widowControl/>
        <w:rPr/>
      </w:pPr>
      <w:r>
        <w:rPr/>
        <w:t>(i)</w:t>
        <w:tab/>
        <w:t xml:space="preserve">The Financial Hedge will provide a “costless collar” whereby Buyer would simultaneously buy a put from Seller </w:t>
      </w:r>
      <w:r>
        <w:rPr>
          <w:b/>
          <w:bCs/>
          <w:u w:val="double"/>
        </w:rPr>
        <w:t>[</w:t>
      </w:r>
      <w:r>
        <w:rPr/>
        <w:t>or its Affiliate</w:t>
      </w:r>
      <w:r>
        <w:rPr>
          <w:b/>
          <w:bCs/>
          <w:u w:val="double"/>
        </w:rPr>
        <w:t>]</w:t>
      </w:r>
      <w:r>
        <w:rPr/>
        <w:t xml:space="preserve"> and sell a call to Seller </w:t>
      </w:r>
      <w:r>
        <w:rPr>
          <w:b/>
          <w:bCs/>
          <w:u w:val="double"/>
        </w:rPr>
        <w:t>[</w:t>
      </w:r>
      <w:r>
        <w:rPr/>
        <w:t>or its Affiliate</w:t>
      </w:r>
      <w:r>
        <w:rPr>
          <w:b/>
          <w:bCs/>
          <w:u w:val="double"/>
        </w:rPr>
        <w:t>]</w:t>
      </w:r>
      <w:r>
        <w:rPr/>
        <w:t xml:space="preserve"> based on the Into TVA Index.  The term of the Financial Hedge will be from January 1, 2002 through December 31, 2002, but could be extended by mutual agreement for additional one (1) year periods; provided that any extension of the Financial Hedge will require the </w:t>
      </w:r>
      <w:r>
        <w:rPr>
          <w:b/>
          <w:bCs/>
          <w:u w:val="double"/>
        </w:rPr>
        <w:t>coterminous</w:t>
      </w:r>
      <w:r>
        <w:rPr/>
        <w:t xml:space="preserve"> extension of the Asset Management Agreement for the same period under market rate terms. For any costless collar, the strike price on the put will be such that sufficient revenue occurs under a low power price scenario to: (A) meet minimum debt service coverage requirements, should Buyer obtain debt financing in respect of the Facilities or its investment in NCPH or NCPH’s subsidiaries, and (B)</w:t>
      </w:r>
      <w:r>
        <w:rPr>
          <w:b/>
          <w:bCs/>
        </w:rPr>
        <w:t xml:space="preserve"> </w:t>
      </w:r>
      <w:r>
        <w:rPr/>
        <w:t>provide an unlevered pre-tax, cash on cash</w:t>
      </w:r>
      <w:r>
        <w:rPr>
          <w:b/>
          <w:bCs/>
          <w:u w:val="double"/>
        </w:rPr>
        <w:t>,</w:t>
      </w:r>
      <w:r>
        <w:rPr/>
        <w:t xml:space="preserve"> cumulative </w:t>
      </w:r>
      <w:r>
        <w:rPr>
          <w:strike/>
        </w:rPr>
        <w:t>annual</w:t>
      </w:r>
      <w:r>
        <w:rPr/>
        <w:t xml:space="preserve"> internal </w:t>
      </w:r>
      <w:r>
        <w:rPr>
          <w:b/>
          <w:bCs/>
          <w:u w:val="double"/>
        </w:rPr>
        <w:t>annual</w:t>
      </w:r>
      <w:r>
        <w:rPr/>
        <w:t xml:space="preserve"> rate of return to Buyer, after all expenses [(</w:t>
      </w:r>
      <w:r>
        <w:rPr>
          <w:b/>
          <w:bCs/>
        </w:rPr>
        <w:t xml:space="preserve">based on R.W. Beck’s forecast expenses attached hereto as </w:t>
      </w:r>
      <w:r>
        <w:rPr>
          <w:b/>
          <w:bCs/>
          <w:u w:val="single"/>
        </w:rPr>
        <w:t>Exhibit 3.6(c)</w:t>
      </w:r>
      <w:r>
        <w:rPr>
          <w:b/>
          <w:bCs/>
        </w:rPr>
        <w:t xml:space="preserve"> terms to be agreed</w:t>
      </w:r>
      <w:r>
        <w:rPr/>
        <w:t>)] [</w:t>
      </w:r>
      <w:r>
        <w:rPr>
          <w:b/>
          <w:bCs/>
        </w:rPr>
        <w:t>and</w:t>
      </w:r>
      <w:r>
        <w:rPr/>
        <w:t xml:space="preserve"> </w:t>
      </w:r>
      <w:r>
        <w:rPr>
          <w:b/>
          <w:bCs/>
        </w:rPr>
        <w:t>debt service</w:t>
      </w:r>
      <w:r>
        <w:rPr/>
        <w:t xml:space="preserve">] of fifteen percent (15%) per annum </w:t>
      </w:r>
      <w:r>
        <w:rPr>
          <w:b/>
          <w:bCs/>
          <w:u w:val="double"/>
        </w:rPr>
        <w:t>compounded annually</w:t>
      </w:r>
      <w:r>
        <w:rPr/>
        <w:t>. All other terms and conditions of the Financial Hedge will be documented and governed under the ISDA Master Agreement utilized in connection with the Financial Put Option Agreement.</w:t>
      </w:r>
    </w:p>
    <w:p>
      <w:pPr>
        <w:pStyle w:val="Corporate4"/>
        <w:widowControl/>
        <w:rPr/>
      </w:pPr>
      <w:r>
        <w:rPr/>
        <w:t>(ii)</w:t>
        <w:tab/>
        <w:t xml:space="preserve">The Off-Take Agreement would be a unit-contingent power purchase agreement for the capacity and energy from the Facilities on terms which will ensure sufficient revenue to Buyer to: (A) meet minimum debt service coverage requirements, should Buyer obtain debt financing in respect of the Facilities or its investment in NCPH or NCPH’s subsidiaries, and (B) provide </w:t>
      </w:r>
      <w:r>
        <w:rPr>
          <w:b/>
          <w:bCs/>
          <w:u w:val="double"/>
        </w:rPr>
        <w:t>an</w:t>
      </w:r>
      <w:r>
        <w:rPr/>
        <w:t xml:space="preserve"> unlevered pre-tax, cash on cash</w:t>
      </w:r>
      <w:r>
        <w:rPr>
          <w:b/>
          <w:bCs/>
          <w:u w:val="double"/>
        </w:rPr>
        <w:t>,</w:t>
      </w:r>
      <w:r>
        <w:rPr/>
        <w:t xml:space="preserve"> cumulative </w:t>
      </w:r>
      <w:r>
        <w:rPr>
          <w:strike/>
        </w:rPr>
        <w:t>annual</w:t>
      </w:r>
      <w:r>
        <w:rPr/>
        <w:t xml:space="preserve"> internal </w:t>
      </w:r>
      <w:r>
        <w:rPr>
          <w:b/>
          <w:bCs/>
          <w:u w:val="double"/>
        </w:rPr>
        <w:t>annual</w:t>
      </w:r>
      <w:r>
        <w:rPr/>
        <w:t xml:space="preserve"> rate of return to Buyer, after all expenses [(</w:t>
      </w:r>
      <w:r>
        <w:rPr>
          <w:b/>
          <w:bCs/>
        </w:rPr>
        <w:t xml:space="preserve">based on R.W. Beck’s forecast expenses attached hereto as </w:t>
      </w:r>
      <w:r>
        <w:rPr>
          <w:b/>
          <w:bCs/>
          <w:u w:val="single"/>
        </w:rPr>
        <w:t>Exhibit 3.6(c)</w:t>
      </w:r>
      <w:r>
        <w:rPr>
          <w:b/>
          <w:bCs/>
        </w:rPr>
        <w:t xml:space="preserve"> terms to be agreed</w:t>
      </w:r>
      <w:r>
        <w:rPr/>
        <w:t>)] [</w:t>
      </w:r>
      <w:r>
        <w:rPr>
          <w:b/>
          <w:bCs/>
        </w:rPr>
        <w:t>and</w:t>
      </w:r>
      <w:r>
        <w:rPr/>
        <w:t xml:space="preserve"> </w:t>
      </w:r>
      <w:r>
        <w:rPr>
          <w:b/>
          <w:bCs/>
        </w:rPr>
        <w:t>debt service</w:t>
      </w:r>
      <w:r>
        <w:rPr/>
        <w:t xml:space="preserve">] of fifteen percent (15%) per annum </w:t>
      </w:r>
      <w:r>
        <w:rPr>
          <w:b/>
          <w:bCs/>
          <w:u w:val="double"/>
        </w:rPr>
        <w:t>compounded annually</w:t>
      </w:r>
      <w:r>
        <w:rPr/>
        <w:t>.  The term of the Off-Take Agreement will run from January 1, 2002 to, but not including, January 1, 2012 (such later date being the “</w:t>
      </w:r>
      <w:r>
        <w:rPr>
          <w:i/>
          <w:iCs/>
        </w:rPr>
        <w:t>Off-Take Maturity Date</w:t>
      </w:r>
      <w:r>
        <w:rPr/>
        <w:t>”). All other terms and conditions of the Off-Take Agreement will be documented and governed under the EEI Master.</w:t>
      </w:r>
    </w:p>
    <w:p>
      <w:pPr>
        <w:pStyle w:val="Corporate4"/>
        <w:widowControl/>
        <w:rPr/>
      </w:pPr>
      <w:r>
        <w:rPr/>
        <w:t>(iii)</w:t>
        <w:tab/>
        <w:t xml:space="preserve">If Seller elects (in its sole discretion) to offer (or cause to </w:t>
      </w:r>
      <w:r>
        <w:rPr>
          <w:strike/>
        </w:rPr>
        <w:t xml:space="preserve">offer) to Buyer </w:t>
      </w:r>
      <w:r>
        <w:rPr>
          <w:b/>
          <w:bCs/>
          <w:u w:val="double"/>
        </w:rPr>
        <w:t>be offered) to Buyer a commercially reasonable proposal to enter into</w:t>
      </w:r>
      <w:r>
        <w:rPr/>
        <w:t xml:space="preserve"> either the Financial Hedge or the Off-Take Agreement, Seller shall </w:t>
      </w:r>
      <w:r>
        <w:rPr>
          <w:b/>
          <w:bCs/>
          <w:u w:val="double"/>
        </w:rPr>
        <w:t>use or shall</w:t>
      </w:r>
      <w:r>
        <w:rPr/>
        <w:t xml:space="preserve"> cause an Affiliate to use reasonable efforts, and Buyer agrees to </w:t>
      </w:r>
      <w:r>
        <w:rPr>
          <w:strike/>
        </w:rPr>
        <w:t>exercise</w:t>
      </w:r>
      <w:r>
        <w:rPr/>
        <w:t xml:space="preserve"> </w:t>
      </w:r>
      <w:r>
        <w:rPr>
          <w:b/>
          <w:bCs/>
          <w:u w:val="double"/>
        </w:rPr>
        <w:t>use</w:t>
      </w:r>
      <w:r>
        <w:rPr/>
        <w:t xml:space="preserve"> reasonable efforts, to </w:t>
      </w:r>
      <w:r>
        <w:rPr>
          <w:b/>
          <w:bCs/>
          <w:u w:val="double"/>
        </w:rPr>
        <w:t>negotiate and</w:t>
      </w:r>
      <w:r>
        <w:rPr/>
        <w:t xml:space="preserve"> enter into the </w:t>
      </w:r>
      <w:r>
        <w:rPr>
          <w:b/>
          <w:bCs/>
          <w:u w:val="double"/>
        </w:rPr>
        <w:t>offered</w:t>
      </w:r>
      <w:r>
        <w:rPr/>
        <w:t xml:space="preserve"> agreement </w:t>
      </w:r>
      <w:r>
        <w:rPr>
          <w:strike/>
        </w:rPr>
        <w:t>offered by Seller</w:t>
      </w:r>
      <w:r>
        <w:rPr/>
        <w:t xml:space="preserve">; provided that, as long as such parties use reasonable efforts to negotiate </w:t>
      </w:r>
      <w:r>
        <w:rPr>
          <w:strike/>
        </w:rPr>
        <w:t>one of such agreements</w:t>
      </w:r>
      <w:r>
        <w:rPr/>
        <w:t xml:space="preserve"> </w:t>
      </w:r>
      <w:r>
        <w:rPr>
          <w:b/>
          <w:bCs/>
          <w:u w:val="double"/>
        </w:rPr>
        <w:t>and enter into the offered Financial Hedge or Off-Take Agreement</w:t>
      </w:r>
      <w:r>
        <w:rPr/>
        <w:t xml:space="preserve">, the failure of such parties to </w:t>
      </w:r>
      <w:r>
        <w:rPr>
          <w:b/>
          <w:bCs/>
          <w:u w:val="double"/>
        </w:rPr>
        <w:t>negotiate and</w:t>
      </w:r>
      <w:r>
        <w:rPr/>
        <w:t xml:space="preserve"> enter into </w:t>
      </w:r>
      <w:r>
        <w:rPr>
          <w:strike/>
        </w:rPr>
        <w:t>one of</w:t>
      </w:r>
      <w:r>
        <w:rPr/>
        <w:t xml:space="preserve"> such </w:t>
      </w:r>
      <w:r>
        <w:rPr>
          <w:strike/>
        </w:rPr>
        <w:t>agreements or</w:t>
      </w:r>
      <w:r>
        <w:rPr/>
        <w:t xml:space="preserve"> </w:t>
      </w:r>
      <w:r>
        <w:rPr>
          <w:b/>
          <w:bCs/>
          <w:u w:val="double"/>
        </w:rPr>
        <w:t>agreement shall not</w:t>
      </w:r>
      <w:r>
        <w:rPr/>
        <w:t xml:space="preserve"> cause Seller to forfeit its right receive the Contingent Consideration. </w:t>
      </w:r>
      <w:r>
        <w:rPr>
          <w:b/>
          <w:bCs/>
          <w:u w:val="double"/>
        </w:rPr>
        <w:t>[</w:t>
      </w:r>
      <w:r>
        <w:rPr>
          <w:b/>
          <w:bCs/>
          <w:i/>
          <w:iCs/>
          <w:u w:val="double"/>
        </w:rPr>
        <w:t>ADD ELSEWHERE IN SPA THAT RIGHT TO CC WILL BE FOREFEITED ON BANKRUPTCY/PAYMENT DEFAULTS UNDER THE TRANSACTION DOCUMENTS AND TRANSACTION AGREEMENTS FOR CONTRACTOR TRANSACTIONS (UNDER AMA).</w:t>
      </w:r>
      <w:r>
        <w:rPr>
          <w:b/>
          <w:bCs/>
          <w:u w:val="double"/>
        </w:rPr>
        <w:t>]</w:t>
      </w:r>
    </w:p>
    <w:p>
      <w:pPr>
        <w:pStyle w:val="Corporate4"/>
        <w:widowControl/>
        <w:rPr/>
      </w:pPr>
      <w:r>
        <w:rPr/>
        <w:t>(iv)</w:t>
        <w:tab/>
        <w:t xml:space="preserve">Buyer, in its sole discretion, will have the option to accept or reject the Financial Hedge or the Off-Take Agreement, with Seller having no further right or obligation to offer further Financial Hedges or Off-Take Agreements following Highstar’s rejection of the same; provided, that if no Off-Take Agreement is then in place, Seller has </w:t>
      </w:r>
      <w:r>
        <w:rPr>
          <w:b/>
          <w:bCs/>
          <w:u w:val="double"/>
        </w:rPr>
        <w:t>(unless it has failed to offer (or caused to be offered) to Buyer the Financial Hedge or the Off-Take Agreement commencing January 1, 2002 as aforesaid,</w:t>
      </w:r>
      <w:r>
        <w:rPr/>
        <w:t xml:space="preserve"> the right to offer to Buyer a second Off-Take Agreement having the terms set out in </w:t>
      </w:r>
      <w:r>
        <w:rPr>
          <w:u w:val="single"/>
        </w:rPr>
        <w:t>Section 3.6(c)(ii)</w:t>
      </w:r>
      <w:r>
        <w:rPr/>
        <w:t xml:space="preserve"> above </w:t>
      </w:r>
      <w:r>
        <w:rPr>
          <w:b/>
          <w:bCs/>
          <w:u w:val="double"/>
        </w:rPr>
        <w:t>(except that it will commence on January 1, 2003)</w:t>
      </w:r>
      <w:r>
        <w:rPr/>
        <w:t xml:space="preserve"> and terminating on the Off-Take Maturity Date.  If Seller does not </w:t>
      </w:r>
      <w:r>
        <w:rPr>
          <w:b/>
          <w:bCs/>
          <w:u w:val="double"/>
        </w:rPr>
        <w:t>so</w:t>
      </w:r>
      <w:r>
        <w:rPr/>
        <w:t xml:space="preserve"> offer to Buyer a second Off-Take Agreement (and an existing Off-Take Agreement is not in place) by the date thirty (30) days prior to </w:t>
      </w:r>
      <w:r>
        <w:rPr>
          <w:strike/>
        </w:rPr>
        <w:t>the</w:t>
      </w:r>
      <w:r>
        <w:rPr/>
        <w:t xml:space="preserve"> December 31, 2002, Seller shall forfeit its right </w:t>
      </w:r>
      <w:r>
        <w:rPr>
          <w:b/>
          <w:bCs/>
          <w:u w:val="double"/>
        </w:rPr>
        <w:t>to</w:t>
      </w:r>
      <w:r>
        <w:rPr/>
        <w:t xml:space="preserve"> receive the Contingent Consideration.</w:t>
      </w:r>
    </w:p>
    <w:p>
      <w:pPr>
        <w:pStyle w:val="Corporate4"/>
        <w:widowControl/>
        <w:pBdr>
          <w:bottom w:val="single" w:sz="12" w:space="1" w:color="000000"/>
        </w:pBdr>
        <w:rPr/>
      </w:pPr>
      <w:r>
        <w:rPr/>
        <w:t>(v)</w:t>
        <w:tab/>
        <w:t>Seller and its Affiliates shall be reimbursed for all reasonable and documented out-of-pocket expenses incurred following the Effective Date in connection with any actual or proposed Subsequent Sale, including reasonable fees and disbursements of counsel for Seller and its Affiliates</w:t>
      </w:r>
      <w:r>
        <w:rPr>
          <w:b/>
          <w:bCs/>
          <w:u w:val="double"/>
        </w:rPr>
        <w:t>; provided that in no event shall the aggregate amount of expenses reimbursable to Seller and its Affiliates hereunder exceed [$_______]</w:t>
      </w:r>
      <w:r>
        <w:rPr/>
        <w:t xml:space="preserve">.  If for any reason, no Subsequent Sale is consummated within the term of the Brokerage Agreement, Seller and its Affiliates shall have no claim whatsoever hereunder against Buyer or any of its Affiliates for any of the foregoing expenses. </w:t>
      </w:r>
    </w:p>
    <w:p>
      <w:pPr>
        <w:pStyle w:val="Corporate4"/>
        <w:widowControl/>
        <w:pBdr>
          <w:bottom w:val="single" w:sz="12" w:space="1" w:color="000000"/>
        </w:pBdr>
        <w:spacing w:before="0" w:after="0"/>
        <w:rPr>
          <w:strike/>
        </w:rPr>
      </w:pPr>
      <w:r>
        <w:rPr>
          <w:strike/>
        </w:rPr>
      </w:r>
    </w:p>
    <w:p>
      <w:pPr>
        <w:pStyle w:val="Corporate4"/>
        <w:widowControl/>
        <w:pBdr>
          <w:bottom w:val="single" w:sz="12" w:space="1" w:color="000000"/>
        </w:pBdr>
        <w:spacing w:before="0" w:after="0"/>
        <w:rPr>
          <w:strike/>
        </w:rPr>
      </w:pPr>
      <w:r>
        <w:rPr>
          <w:strike/>
        </w:rPr>
        <w:t>8.2 (e) Certificate. The Buyer shall have furnished the Seller with a certificate confirming that the obligations of Buyer to pay the Contingent Consideration shall survive until the Contingent Consideration has been paid or until Seller has forfeited its right to receive the Contingent Consideration pursuant to terms and conditions set forth herein.</w:t>
      </w:r>
    </w:p>
    <w:p>
      <w:pPr>
        <w:pStyle w:val="Corporate4"/>
        <w:widowControl/>
        <w:pBdr>
          <w:bottom w:val="single" w:sz="12" w:space="1" w:color="000000"/>
        </w:pBdr>
        <w:spacing w:before="0" w:after="0"/>
        <w:rPr/>
      </w:pPr>
      <w:r>
        <w:rPr/>
      </w:r>
    </w:p>
    <w:p>
      <w:pPr>
        <w:pStyle w:val="Corporate4"/>
        <w:widowControl/>
        <w:pBdr>
          <w:bottom w:val="single" w:sz="12" w:space="1" w:color="000000"/>
        </w:pBdr>
        <w:spacing w:before="0" w:after="0"/>
        <w:rPr/>
      </w:pPr>
      <w:r>
        <w:rPr/>
        <w:t>------------------ COMPARISON OF HEADERS ------------------</w:t>
      </w:r>
    </w:p>
    <w:p>
      <w:pPr>
        <w:pStyle w:val="Corporate4"/>
        <w:widowControl/>
        <w:pBdr>
          <w:bottom w:val="single" w:sz="12" w:space="1" w:color="000000"/>
        </w:pBdr>
        <w:spacing w:before="0" w:after="0"/>
        <w:rPr>
          <w:strike/>
        </w:rPr>
      </w:pPr>
      <w:r>
        <w:rPr>
          <w:strike/>
        </w:rPr>
      </w:r>
    </w:p>
    <w:p>
      <w:pPr>
        <w:pStyle w:val="Corporate4"/>
        <w:widowControl/>
        <w:pBdr>
          <w:bottom w:val="single" w:sz="12" w:space="1" w:color="000000"/>
        </w:pBdr>
        <w:spacing w:before="0" w:after="0"/>
        <w:rPr>
          <w:strike/>
        </w:rPr>
      </w:pPr>
      <w:r>
        <w:rPr>
          <w:strike/>
        </w:rPr>
        <w:t>-HEADER 1-</w:t>
      </w:r>
    </w:p>
    <w:p>
      <w:pPr>
        <w:pStyle w:val="Corporate4"/>
        <w:widowControl/>
        <w:pBdr>
          <w:bottom w:val="single" w:sz="12" w:space="1" w:color="000000"/>
        </w:pBdr>
        <w:spacing w:before="0" w:after="0"/>
        <w:rPr>
          <w:strike/>
        </w:rPr>
      </w:pPr>
      <w:r>
        <w:rPr>
          <w:strike/>
        </w:rPr>
      </w:r>
    </w:p>
    <w:p>
      <w:pPr>
        <w:pStyle w:val="Corporate4"/>
        <w:widowControl/>
        <w:pBdr>
          <w:bottom w:val="single" w:sz="12" w:space="1" w:color="000000"/>
        </w:pBdr>
        <w:spacing w:before="0" w:after="0"/>
        <w:rPr>
          <w:strike/>
        </w:rPr>
      </w:pPr>
      <w:r>
        <w:rPr>
          <w:strike/>
        </w:rPr>
      </w:r>
    </w:p>
    <w:p>
      <w:pPr>
        <w:pStyle w:val="Corporate4"/>
        <w:widowControl/>
        <w:pBdr>
          <w:bottom w:val="single" w:sz="12" w:space="1" w:color="000000"/>
        </w:pBdr>
        <w:spacing w:before="0" w:after="0"/>
        <w:rPr>
          <w:strike/>
        </w:rPr>
      </w:pPr>
      <w:r>
        <w:rPr>
          <w:strike/>
        </w:rPr>
        <w:t>-HEADER 2-</w:t>
      </w:r>
    </w:p>
    <w:p>
      <w:pPr>
        <w:pStyle w:val="Corporate4"/>
        <w:widowControl/>
        <w:pBdr>
          <w:bottom w:val="single" w:sz="12" w:space="1" w:color="000000"/>
        </w:pBdr>
        <w:spacing w:before="0" w:after="0"/>
        <w:rPr>
          <w:strike/>
        </w:rPr>
      </w:pPr>
      <w:r>
        <w:rPr>
          <w:strike/>
        </w:rPr>
        <w:t>Header Discontinued</w:t>
      </w:r>
    </w:p>
    <w:p>
      <w:pPr>
        <w:pStyle w:val="Corporate4"/>
        <w:widowControl/>
        <w:pBdr>
          <w:bottom w:val="single" w:sz="12" w:space="1" w:color="000000"/>
        </w:pBdr>
        <w:spacing w:before="0" w:after="0"/>
        <w:rPr>
          <w:strike/>
        </w:rPr>
      </w:pPr>
      <w:r>
        <w:rPr>
          <w:strike/>
        </w:rPr>
      </w:r>
    </w:p>
    <w:p>
      <w:pPr>
        <w:pStyle w:val="Corporate4"/>
        <w:widowControl/>
        <w:pBdr>
          <w:bottom w:val="single" w:sz="12" w:space="1" w:color="000000"/>
        </w:pBdr>
        <w:spacing w:before="0" w:after="0"/>
        <w:rPr>
          <w:strike/>
        </w:rPr>
      </w:pPr>
      <w:r>
        <w:rPr>
          <w:strike/>
        </w:rPr>
        <w:t>-HEADER 3-</w:t>
      </w:r>
    </w:p>
    <w:p>
      <w:pPr>
        <w:pStyle w:val="Corporate4"/>
        <w:widowControl/>
        <w:pBdr>
          <w:bottom w:val="single" w:sz="12" w:space="1" w:color="000000"/>
        </w:pBdr>
        <w:spacing w:before="0" w:after="0"/>
        <w:rPr>
          <w:strike/>
        </w:rPr>
      </w:pPr>
      <w:r>
        <w:rPr>
          <w:strike/>
        </w:rPr>
        <w:t>Header Discontinued</w:t>
      </w:r>
    </w:p>
    <w:p>
      <w:pPr>
        <w:pStyle w:val="Corporate4"/>
        <w:widowControl/>
        <w:pBdr>
          <w:bottom w:val="single" w:sz="12" w:space="1" w:color="000000"/>
        </w:pBdr>
        <w:spacing w:before="0" w:after="0"/>
        <w:rPr/>
      </w:pPr>
      <w:r>
        <w:rPr/>
      </w:r>
    </w:p>
    <w:p>
      <w:pPr>
        <w:pStyle w:val="Corporate4"/>
        <w:widowControl/>
        <w:pBdr>
          <w:bottom w:val="single" w:sz="12" w:space="1" w:color="000000"/>
        </w:pBdr>
        <w:spacing w:before="0" w:after="0"/>
        <w:rPr/>
      </w:pPr>
      <w:r>
        <w:rPr/>
        <w:t>------------------ COMPARISON OF FOOTERS ------------------</w:t>
      </w:r>
    </w:p>
    <w:p>
      <w:pPr>
        <w:pStyle w:val="Corporate4"/>
        <w:widowControl/>
        <w:pBdr>
          <w:bottom w:val="single" w:sz="12" w:space="1" w:color="000000"/>
        </w:pBdr>
        <w:spacing w:before="0" w:after="0"/>
        <w:rPr/>
      </w:pPr>
      <w:r>
        <w:rPr/>
      </w:r>
    </w:p>
    <w:p>
      <w:pPr>
        <w:pStyle w:val="Corporate4"/>
        <w:widowControl/>
        <w:pBdr>
          <w:bottom w:val="single" w:sz="12" w:space="1" w:color="000000"/>
        </w:pBdr>
        <w:spacing w:before="0" w:after="0"/>
        <w:rPr/>
      </w:pPr>
      <w:r>
        <w:rPr/>
      </w:r>
    </w:p>
    <w:p>
      <w:pPr>
        <w:pStyle w:val="Corporate4"/>
        <w:widowControl/>
        <w:pBdr>
          <w:bottom w:val="single" w:sz="12" w:space="1" w:color="000000"/>
        </w:pBdr>
        <w:spacing w:before="0" w:after="0"/>
        <w:rPr/>
      </w:pPr>
      <w:r>
        <w:rPr/>
      </w:r>
    </w:p>
    <w:p>
      <w:pPr>
        <w:pStyle w:val="Corporate4"/>
        <w:widowControl/>
        <w:pBdr>
          <w:bottom w:val="single" w:sz="12" w:space="1" w:color="000000"/>
        </w:pBdr>
        <w:spacing w:before="0" w:after="0"/>
        <w:rPr/>
      </w:pPr>
      <w:r>
        <w:rPr/>
        <w:t>-FOOTER 1-</w:t>
      </w:r>
    </w:p>
    <w:p>
      <w:pPr>
        <w:pStyle w:val="Corporate4"/>
        <w:widowControl/>
        <w:pBdr>
          <w:bottom w:val="single" w:sz="12" w:space="1" w:color="000000"/>
        </w:pBdr>
        <w:spacing w:before="0" w:after="0"/>
        <w:rPr/>
      </w:pPr>
      <w:r>
        <w:rPr>
          <w:strike/>
        </w:rPr>
        <w:t>5</w:t>
      </w:r>
      <w:r>
        <w:rPr/>
        <w:t xml:space="preserve"> </w:t>
      </w:r>
      <w:r>
        <w:rPr>
          <w:b/>
          <w:bCs/>
          <w:u w:val="double"/>
        </w:rPr>
        <w:t>2</w:t>
      </w:r>
    </w:p>
    <w:p>
      <w:pPr>
        <w:pStyle w:val="Corporate4"/>
        <w:widowControl/>
        <w:pBdr>
          <w:bottom w:val="single" w:sz="12" w:space="1" w:color="000000"/>
        </w:pBdr>
        <w:spacing w:before="0" w:after="0"/>
        <w:rPr/>
      </w:pPr>
      <w:r>
        <w:rPr/>
        <w:t>Houston\1284854.2</w:t>
      </w:r>
    </w:p>
    <w:p>
      <w:pPr>
        <w:pStyle w:val="Corporate4"/>
        <w:widowControl/>
        <w:pBdr>
          <w:bottom w:val="single" w:sz="12" w:space="1" w:color="000000"/>
        </w:pBdr>
        <w:spacing w:before="0" w:after="0"/>
        <w:rPr/>
      </w:pPr>
      <w:r>
        <w:rPr/>
        <w:t>NY1:#</w:t>
      </w:r>
      <w:r>
        <w:rPr>
          <w:strike/>
        </w:rPr>
        <w:t>3288301v1</w:t>
      </w:r>
      <w:r>
        <w:rPr/>
        <w:t xml:space="preserve"> </w:t>
      </w:r>
      <w:r>
        <w:rPr>
          <w:b/>
          <w:bCs/>
          <w:u w:val="double"/>
        </w:rPr>
        <w:t>3288075v2</w:t>
      </w:r>
      <w:r>
        <w:rPr/>
        <w:t xml:space="preserve"> </w:t>
      </w:r>
    </w:p>
    <w:p>
      <w:pPr>
        <w:pStyle w:val="Corporate4"/>
        <w:widowControl/>
        <w:pBdr>
          <w:bottom w:val="single" w:sz="12" w:space="1" w:color="000000"/>
        </w:pBdr>
        <w:spacing w:before="0" w:after="0"/>
        <w:rPr/>
      </w:pPr>
      <w:r>
        <w:rPr/>
        <w:t xml:space="preserve">05/4/01 </w:t>
      </w:r>
    </w:p>
    <w:p>
      <w:pPr>
        <w:pStyle w:val="Corporate4"/>
        <w:widowControl/>
        <w:pBdr>
          <w:bottom w:val="single" w:sz="12" w:space="1" w:color="000000"/>
        </w:pBdr>
        <w:spacing w:before="0" w:after="0"/>
        <w:rPr/>
      </w:pPr>
      <w:r>
        <w:rPr/>
      </w:r>
    </w:p>
    <w:p>
      <w:pPr>
        <w:pStyle w:val="Corporate4"/>
        <w:widowControl/>
        <w:pBdr>
          <w:bottom w:val="single" w:sz="12" w:space="1" w:color="000000"/>
        </w:pBdr>
        <w:spacing w:before="0" w:after="0"/>
        <w:rPr/>
      </w:pPr>
      <w:r>
        <w:rPr/>
        <w:t>-FOOTER 2-</w:t>
      </w:r>
    </w:p>
    <w:p>
      <w:pPr>
        <w:pStyle w:val="Corporate4"/>
        <w:widowControl/>
        <w:pBdr>
          <w:bottom w:val="single" w:sz="12" w:space="1" w:color="000000"/>
        </w:pBdr>
        <w:spacing w:before="0" w:after="0"/>
        <w:rPr/>
      </w:pPr>
      <w:r>
        <w:rPr/>
        <w:t>NY1:#</w:t>
      </w:r>
      <w:r>
        <w:rPr>
          <w:strike/>
        </w:rPr>
        <w:t>3288301v1</w:t>
      </w:r>
      <w:r>
        <w:rPr/>
        <w:t xml:space="preserve"> </w:t>
      </w:r>
      <w:r>
        <w:rPr>
          <w:b/>
          <w:bCs/>
          <w:u w:val="double"/>
        </w:rPr>
        <w:t>3288075v2</w:t>
      </w:r>
      <w:r>
        <w:rPr/>
        <w:t xml:space="preserve"> </w:t>
      </w:r>
    </w:p>
    <w:p>
      <w:pPr>
        <w:pStyle w:val="Corporate4"/>
        <w:widowControl/>
        <w:pBdr>
          <w:bottom w:val="single" w:sz="12" w:space="1" w:color="000000"/>
        </w:pBdr>
        <w:spacing w:before="0" w:after="0"/>
        <w:rPr/>
      </w:pPr>
      <w:r>
        <w:rPr/>
        <w:t xml:space="preserve">05/4/01 </w:t>
      </w:r>
    </w:p>
    <w:p>
      <w:pPr>
        <w:pStyle w:val="Corporate4"/>
        <w:widowControl/>
        <w:pBdr>
          <w:bottom w:val="single" w:sz="12" w:space="1" w:color="000000"/>
        </w:pBdr>
        <w:spacing w:before="0" w:after="0"/>
        <w:rPr/>
      </w:pPr>
      <w:r>
        <w:rPr>
          <w:strike/>
        </w:rPr>
        <w:t>R</w:t>
      </w:r>
      <w:r>
        <w:rPr/>
        <w:t xml:space="preserve"> </w:t>
      </w:r>
      <w:r>
        <w:rPr>
          <w:b/>
          <w:bCs/>
          <w:u w:val="double"/>
        </w:rPr>
        <w:t>M</w:t>
      </w:r>
    </w:p>
    <w:p>
      <w:pPr>
        <w:pStyle w:val="Corporate4"/>
        <w:widowControl/>
        <w:pBdr>
          <w:bottom w:val="single" w:sz="12" w:space="1" w:color="000000"/>
        </w:pBdr>
        <w:spacing w:before="0" w:after="0"/>
        <w:rPr/>
      </w:pPr>
      <w:r>
        <w:rPr/>
      </w:r>
    </w:p>
    <w:p>
      <w:pPr>
        <w:pStyle w:val="Corporate4"/>
        <w:widowControl/>
        <w:pBdr>
          <w:bottom w:val="single" w:sz="12" w:space="1" w:color="000000"/>
        </w:pBdr>
        <w:spacing w:before="0" w:after="0"/>
        <w:rPr/>
      </w:pPr>
      <w:r>
        <w:rPr/>
        <w:t xml:space="preserve">This redlined draft, generated by CompareRite (TM) - The Instant Redliner, shows the differences between - </w:t>
      </w:r>
    </w:p>
    <w:p>
      <w:pPr>
        <w:pStyle w:val="Corporate4"/>
        <w:widowControl/>
        <w:pBdr>
          <w:bottom w:val="single" w:sz="12" w:space="1" w:color="000000"/>
        </w:pBdr>
        <w:spacing w:before="0" w:after="0"/>
        <w:rPr/>
      </w:pPr>
      <w:r>
        <w:rPr/>
        <w:t>original document   : F:\DOCS\NY1\WBICE\MISC\1YH9P01!.DOC</w:t>
      </w:r>
    </w:p>
    <w:p>
      <w:pPr>
        <w:pStyle w:val="Corporate4"/>
        <w:widowControl/>
        <w:pBdr>
          <w:bottom w:val="single" w:sz="12" w:space="1" w:color="000000"/>
        </w:pBdr>
        <w:spacing w:before="0" w:after="0"/>
        <w:rPr/>
      </w:pPr>
      <w:r>
        <w:rPr/>
        <w:t>and revised document: F:\DOCS\NY1\WBICE\MISC\1YH3F02!.DOC</w:t>
      </w:r>
    </w:p>
    <w:p>
      <w:pPr>
        <w:pStyle w:val="Corporate4"/>
        <w:widowControl/>
        <w:pBdr>
          <w:bottom w:val="single" w:sz="12" w:space="1" w:color="000000"/>
        </w:pBdr>
        <w:spacing w:before="0" w:after="0"/>
        <w:rPr/>
      </w:pPr>
      <w:r>
        <w:rPr/>
      </w:r>
    </w:p>
    <w:p>
      <w:pPr>
        <w:pStyle w:val="Corporate4"/>
        <w:widowControl/>
        <w:pBdr>
          <w:bottom w:val="single" w:sz="12" w:space="1" w:color="000000"/>
        </w:pBdr>
        <w:spacing w:before="0" w:after="0"/>
        <w:rPr/>
      </w:pPr>
      <w:r>
        <w:rPr/>
        <w:t>CompareRite found   71 change(s) in the text</w:t>
      </w:r>
    </w:p>
    <w:p>
      <w:pPr>
        <w:pStyle w:val="Corporate4"/>
        <w:widowControl/>
        <w:pBdr>
          <w:bottom w:val="single" w:sz="12" w:space="1" w:color="000000"/>
        </w:pBdr>
        <w:spacing w:before="0" w:after="0"/>
        <w:rPr/>
      </w:pPr>
      <w:r>
        <w:rPr/>
        <w:t>CompareRite found    5 change(s) in the notes</w:t>
      </w:r>
    </w:p>
    <w:p>
      <w:pPr>
        <w:pStyle w:val="Corporate4"/>
        <w:widowControl/>
        <w:pBdr>
          <w:bottom w:val="single" w:sz="12" w:space="1" w:color="000000"/>
        </w:pBdr>
        <w:spacing w:before="0" w:after="0"/>
        <w:rPr/>
      </w:pPr>
      <w:r>
        <w:rPr/>
      </w:r>
    </w:p>
    <w:p>
      <w:pPr>
        <w:pStyle w:val="Corporate4"/>
        <w:widowControl/>
        <w:pBdr>
          <w:bottom w:val="single" w:sz="12" w:space="1" w:color="000000"/>
        </w:pBdr>
        <w:spacing w:before="0" w:after="0"/>
        <w:rPr/>
      </w:pPr>
      <w:r>
        <w:rPr/>
        <w:t xml:space="preserve">Deletions appear as Overstrike text </w:t>
      </w:r>
    </w:p>
    <w:p>
      <w:pPr>
        <w:pStyle w:val="Corporate4"/>
        <w:widowControl/>
        <w:pBdr>
          <w:bottom w:val="single" w:sz="12" w:space="1" w:color="000000"/>
        </w:pBdr>
        <w:spacing w:before="0" w:after="0"/>
        <w:rPr/>
      </w:pPr>
      <w:r>
        <w:rPr/>
        <w:t xml:space="preserve">Additions appear as Bold+Dbl Underline text </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ourier New">
    <w:charset w:val="01"/>
    <w:family w:val="modern"/>
    <w:pitch w:val="default"/>
  </w:font>
  <w:font w:name="Times New Roman Bold">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szCs w:val="16"/>
      </w:rPr>
    </w:pPr>
    <w:r>
      <w:rPr>
        <w:sz w:val="16"/>
        <w:szCs w:val="16"/>
      </w:rPr>
      <w:t>Houston\1284854.2</w:t>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widowControl/>
                            <w:rPr>
                              <w:rStyle w:val="PageNumber"/>
                              <w:sz w:val="24"/>
                              <w:szCs w:val="24"/>
                            </w:rPr>
                          </w:pP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7</w:t>
                          </w:r>
                          <w:r>
                            <w:rPr>
                              <w:rStyle w:val="PageNumber"/>
                              <w:sz w:val="24"/>
                              <w:szCs w:val="24"/>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widowControl/>
                      <w:rPr>
                        <w:rStyle w:val="PageNumber"/>
                        <w:sz w:val="24"/>
                        <w:szCs w:val="24"/>
                      </w:rPr>
                    </w:pP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7</w:t>
                    </w:r>
                    <w:r>
                      <w:rPr>
                        <w:rStyle w:val="PageNumber"/>
                        <w:sz w:val="24"/>
                        <w:szCs w:val="24"/>
                      </w:rPr>
                      <w:fldChar w:fldCharType="end"/>
                    </w:r>
                  </w:p>
                </w:txbxContent>
              </v:textbox>
              <w10:wrap type="square"/>
            </v:rect>
          </w:pict>
        </mc:Fallback>
      </mc:AlternateContent>
    </w:r>
  </w:p>
  <w:p>
    <w:pPr>
      <w:pStyle w:val="Footer"/>
      <w:widowControl/>
      <w:spacing w:lineRule="exact" w:line="200"/>
      <w:jc w:val="start"/>
      <w:rPr/>
    </w:pPr>
    <w:r>
      <w:rPr>
        <w:rStyle w:val="zzmpTrailerItem"/>
      </w:rPr>
      <w:t>H:\Docs\SPARidersRED.doc</w:t>
    </w:r>
    <w:r>
      <w:rPr/>
      <w:t xml:space="preserve"> </w:t>
    </w:r>
  </w:p>
  <w:p>
    <w:pPr>
      <w:pStyle w:val="Footer"/>
      <w:widowControl/>
      <w:spacing w:lineRule="exact" w:line="200"/>
      <w:jc w:val="start"/>
      <w:rPr/>
    </w:pPr>
    <w:r>
      <w:rPr>
        <w:rStyle w:val="zzmpTrailerItem"/>
      </w:rPr>
      <w:fldChar w:fldCharType="begin"/>
    </w:r>
    <w:r>
      <w:rPr>
        <w:rStyle w:val="zzmpTrailerItem"/>
      </w:rPr>
      <w:instrText xml:space="preserve"> DATE \@"MM\/d\/yy" </w:instrText>
    </w:r>
    <w:r>
      <w:rPr>
        <w:rStyle w:val="zzmpTrailerItem"/>
      </w:rPr>
      <w:fldChar w:fldCharType="separate"/>
    </w:r>
    <w:r>
      <w:rPr>
        <w:rStyle w:val="zzmpTrailerItem"/>
      </w:rPr>
      <w:t>09/28/25</w:t>
    </w:r>
    <w:r>
      <w:rPr>
        <w:rStyle w:val="zzmpTrailerItem"/>
      </w:rPr>
      <w:fldChar w:fldCharType="end"/>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jc w:val="start"/>
      <w:rPr/>
    </w:pPr>
    <w:r>
      <w:rPr>
        <w:rStyle w:val="zzmpTrailerItem"/>
      </w:rPr>
      <w:t>H:\Docs\SPARidersRED.doc</w:t>
    </w:r>
    <w:r>
      <w:rPr/>
      <w:t xml:space="preserve"> </w:t>
    </w:r>
  </w:p>
  <w:p>
    <w:pPr>
      <w:pStyle w:val="Footer"/>
      <w:spacing w:lineRule="exact" w:line="200"/>
      <w:jc w:val="start"/>
      <w:rPr/>
    </w:pPr>
    <w:r>
      <w:rPr>
        <w:rStyle w:val="zzmpTrailerItem"/>
      </w:rPr>
      <w:fldChar w:fldCharType="begin"/>
    </w:r>
    <w:r>
      <w:rPr>
        <w:rStyle w:val="zzmpTrailerItem"/>
      </w:rPr>
      <w:instrText xml:space="preserve"> DATE \@"MM\/d\/yy" </w:instrText>
    </w:r>
    <w:r>
      <w:rPr>
        <w:rStyle w:val="zzmpTrailerItem"/>
      </w:rPr>
      <w:fldChar w:fldCharType="separate"/>
    </w:r>
    <w:r>
      <w:rPr>
        <w:rStyle w:val="zzmpTrailerItem"/>
      </w:rPr>
      <w:t>09/28/25</w:t>
    </w:r>
    <w:r>
      <w:rPr>
        <w:rStyle w:val="zzmpTrailerItem"/>
      </w:rPr>
      <w:fldChar w:fldCharType="end"/>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Heading2"/>
    <w:qFormat/>
    <w:pPr>
      <w:keepNext w:val="true"/>
      <w:numPr>
        <w:ilvl w:val="0"/>
        <w:numId w:val="1"/>
      </w:numPr>
      <w:spacing w:before="120" w:after="240"/>
      <w:jc w:val="center"/>
      <w:outlineLvl w:val="0"/>
    </w:pPr>
    <w:rPr>
      <w:b/>
      <w:bCs/>
    </w:rPr>
  </w:style>
  <w:style w:type="paragraph" w:styleId="Heading2">
    <w:name w:val="heading 2"/>
    <w:basedOn w:val="Normal"/>
    <w:next w:val="BodyTextFirstIndent"/>
    <w:qFormat/>
    <w:pPr>
      <w:numPr>
        <w:ilvl w:val="1"/>
        <w:numId w:val="1"/>
      </w:numPr>
      <w:tabs>
        <w:tab w:val="left" w:pos="720" w:leader="none"/>
      </w:tabs>
      <w:spacing w:before="0" w:after="240"/>
      <w:outlineLvl w:val="1"/>
    </w:pPr>
    <w:rPr/>
  </w:style>
  <w:style w:type="paragraph" w:styleId="Heading3">
    <w:name w:val="heading 3"/>
    <w:basedOn w:val="Normal"/>
    <w:next w:val="BodyText2"/>
    <w:qFormat/>
    <w:pPr>
      <w:numPr>
        <w:ilvl w:val="2"/>
        <w:numId w:val="1"/>
      </w:numPr>
      <w:tabs>
        <w:tab w:val="left" w:pos="720" w:leader="none"/>
      </w:tabs>
      <w:spacing w:before="0" w:after="240"/>
      <w:outlineLvl w:val="2"/>
    </w:pPr>
    <w:rPr/>
  </w:style>
  <w:style w:type="paragraph" w:styleId="Heading4">
    <w:name w:val="heading 4"/>
    <w:basedOn w:val="Normal"/>
    <w:next w:val="BodyText"/>
    <w:qFormat/>
    <w:pPr>
      <w:numPr>
        <w:ilvl w:val="3"/>
        <w:numId w:val="1"/>
      </w:numPr>
      <w:tabs>
        <w:tab w:val="clear" w:pos="720"/>
        <w:tab w:val="left" w:pos="2160" w:leader="none"/>
      </w:tabs>
      <w:spacing w:before="0" w:after="240"/>
      <w:outlineLvl w:val="3"/>
    </w:pPr>
    <w:rPr/>
  </w:style>
  <w:style w:type="paragraph" w:styleId="Heading5">
    <w:name w:val="heading 5"/>
    <w:basedOn w:val="Normal"/>
    <w:next w:val="BodyText"/>
    <w:qFormat/>
    <w:pPr>
      <w:numPr>
        <w:ilvl w:val="4"/>
        <w:numId w:val="1"/>
      </w:numPr>
      <w:tabs>
        <w:tab w:val="left" w:pos="720" w:leader="none"/>
        <w:tab w:val="left" w:pos="1008" w:leader="none"/>
      </w:tabs>
      <w:spacing w:before="0" w:after="240"/>
      <w:ind w:hanging="432" w:start="1008" w:end="0"/>
      <w:outlineLvl w:val="4"/>
    </w:pPr>
    <w:rPr/>
  </w:style>
  <w:style w:type="paragraph" w:styleId="Heading6">
    <w:name w:val="heading 6"/>
    <w:basedOn w:val="Normal"/>
    <w:next w:val="BodyText"/>
    <w:qFormat/>
    <w:pPr>
      <w:numPr>
        <w:ilvl w:val="5"/>
        <w:numId w:val="1"/>
      </w:numPr>
      <w:tabs>
        <w:tab w:val="left" w:pos="720" w:leader="none"/>
        <w:tab w:val="left" w:pos="1152" w:leader="none"/>
      </w:tabs>
      <w:spacing w:before="0" w:after="240"/>
      <w:ind w:hanging="432" w:start="1152" w:end="0"/>
      <w:outlineLvl w:val="5"/>
    </w:pPr>
    <w:rPr/>
  </w:style>
  <w:style w:type="paragraph" w:styleId="Heading7">
    <w:name w:val="heading 7"/>
    <w:basedOn w:val="Normal"/>
    <w:next w:val="BodyText"/>
    <w:qFormat/>
    <w:pPr>
      <w:numPr>
        <w:ilvl w:val="6"/>
        <w:numId w:val="1"/>
      </w:numPr>
      <w:tabs>
        <w:tab w:val="clear" w:pos="720"/>
        <w:tab w:val="left" w:pos="1296" w:leader="none"/>
      </w:tabs>
      <w:spacing w:before="0" w:after="240"/>
      <w:ind w:hanging="288" w:start="1296" w:end="0"/>
      <w:outlineLvl w:val="6"/>
    </w:pPr>
    <w:rPr/>
  </w:style>
  <w:style w:type="paragraph" w:styleId="Heading8">
    <w:name w:val="heading 8"/>
    <w:basedOn w:val="Normal"/>
    <w:next w:val="BodyText"/>
    <w:qFormat/>
    <w:pPr>
      <w:numPr>
        <w:ilvl w:val="7"/>
        <w:numId w:val="1"/>
      </w:numPr>
      <w:tabs>
        <w:tab w:val="clear" w:pos="720"/>
        <w:tab w:val="left" w:pos="1440" w:leader="none"/>
      </w:tabs>
      <w:spacing w:before="0" w:after="240"/>
      <w:ind w:hanging="432" w:start="1440" w:end="0"/>
      <w:outlineLvl w:val="7"/>
    </w:pPr>
    <w:rPr/>
  </w:style>
  <w:style w:type="paragraph" w:styleId="Heading9">
    <w:name w:val="heading 9"/>
    <w:basedOn w:val="Normal"/>
    <w:next w:val="BodyText"/>
    <w:qFormat/>
    <w:pPr>
      <w:numPr>
        <w:ilvl w:val="8"/>
        <w:numId w:val="1"/>
      </w:numPr>
      <w:tabs>
        <w:tab w:val="clear" w:pos="720"/>
        <w:tab w:val="left" w:pos="1584" w:leader="none"/>
      </w:tabs>
      <w:spacing w:before="0" w:after="240"/>
      <w:ind w:hanging="144" w:start="1584" w:end="0"/>
      <w:outlineLvl w:val="8"/>
    </w:pPr>
    <w:rPr/>
  </w:style>
  <w:style w:type="character" w:styleId="DefaultParagraphFont">
    <w:name w:val="Default Paragraph Font"/>
    <w:qFormat/>
    <w:rPr/>
  </w:style>
  <w:style w:type="character" w:styleId="Corporate2A">
    <w:name w:val="Corporate2A"/>
    <w:basedOn w:val="DefaultParagraphFont"/>
    <w:qFormat/>
    <w:rPr>
      <w:sz w:val="20"/>
      <w:szCs w:val="20"/>
      <w:u w:val="single"/>
    </w:rPr>
  </w:style>
  <w:style w:type="character" w:styleId="PageNumber">
    <w:name w:val="page number"/>
    <w:basedOn w:val="DefaultParagraphFont"/>
    <w:rPr>
      <w:sz w:val="20"/>
      <w:szCs w:val="20"/>
    </w:rPr>
  </w:style>
  <w:style w:type="character" w:styleId="zzmpTrailerItem">
    <w:name w:val="zzmpTrailerItem"/>
    <w:basedOn w:val="DefaultParagraphFont"/>
    <w:qFormat/>
    <w:rPr>
      <w:b/>
      <w:bCs/>
      <w:sz w:val="16"/>
      <w:szCs w:val="16"/>
    </w:rPr>
  </w:style>
  <w:style w:type="paragraph" w:styleId="Heading">
    <w:name w:val="Heading"/>
    <w:basedOn w:val="Normal"/>
    <w:next w:val="BodyText"/>
    <w:qFormat/>
    <w:pPr>
      <w:jc w:val="center"/>
    </w:pPr>
    <w:rPr>
      <w:u w:val="single"/>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FirstIndent">
    <w:name w:val="Body Text First Indent"/>
    <w:basedOn w:val="BodyText"/>
    <w:qFormat/>
    <w:pPr>
      <w:spacing w:before="0" w:after="240"/>
    </w:pPr>
    <w:rPr/>
  </w:style>
  <w:style w:type="paragraph" w:styleId="Corporate1">
    <w:name w:val="Corporate 1"/>
    <w:basedOn w:val="Normal"/>
    <w:next w:val="Corporate2"/>
    <w:qFormat/>
    <w:pPr>
      <w:spacing w:before="0" w:after="360"/>
      <w:ind w:firstLine="5040" w:start="0" w:end="0"/>
      <w:jc w:val="center"/>
    </w:pPr>
    <w:rPr>
      <w:b/>
      <w:bCs/>
      <w:caps/>
    </w:rPr>
  </w:style>
  <w:style w:type="paragraph" w:styleId="Corporate2">
    <w:name w:val="Corporate 2"/>
    <w:basedOn w:val="Normal"/>
    <w:next w:val="Normal"/>
    <w:qFormat/>
    <w:pPr>
      <w:tabs>
        <w:tab w:val="clear" w:pos="720"/>
        <w:tab w:val="left" w:pos="1440" w:leader="none"/>
        <w:tab w:val="left" w:pos="1800" w:leader="none"/>
      </w:tabs>
      <w:spacing w:before="0" w:after="240"/>
    </w:pPr>
    <w:rPr/>
  </w:style>
  <w:style w:type="paragraph" w:styleId="Corporate3">
    <w:name w:val="Corporate 3"/>
    <w:basedOn w:val="Normal"/>
    <w:qFormat/>
    <w:pPr>
      <w:numPr>
        <w:ilvl w:val="0"/>
        <w:numId w:val="2"/>
      </w:numPr>
      <w:pBdr>
        <w:bottom w:val="single" w:sz="12" w:space="1" w:color="000000"/>
      </w:pBdr>
      <w:tabs>
        <w:tab w:val="clear" w:pos="720"/>
        <w:tab w:val="left" w:pos="0" w:leader="none"/>
      </w:tabs>
      <w:spacing w:before="0" w:after="240"/>
      <w:ind w:firstLine="720" w:start="0" w:end="0"/>
    </w:pPr>
    <w:rPr/>
  </w:style>
  <w:style w:type="paragraph" w:styleId="Corporate4">
    <w:name w:val="Corporate 4"/>
    <w:basedOn w:val="Normal"/>
    <w:qFormat/>
    <w:pPr>
      <w:tabs>
        <w:tab w:val="clear" w:pos="720"/>
        <w:tab w:val="left" w:pos="2160" w:leader="none"/>
      </w:tabs>
      <w:spacing w:before="0" w:after="240"/>
      <w:ind w:firstLine="720" w:start="720" w:end="0"/>
    </w:pPr>
    <w:rPr/>
  </w:style>
  <w:style w:type="paragraph" w:styleId="Corporate1A">
    <w:name w:val="Corporate1A"/>
    <w:basedOn w:val="Normal"/>
    <w:next w:val="Corporate2"/>
    <w:qFormat/>
    <w:pPr>
      <w:tabs>
        <w:tab w:val="clear" w:pos="720"/>
        <w:tab w:val="center" w:pos="4680" w:leader="none"/>
      </w:tabs>
      <w:spacing w:before="0" w:after="240"/>
      <w:jc w:val="center"/>
    </w:pPr>
    <w:rPr/>
  </w:style>
  <w:style w:type="paragraph" w:styleId="PlainText">
    <w:name w:val="Plain Text"/>
    <w:basedOn w:val="Normal"/>
    <w:qFormat/>
    <w:pPr/>
    <w:rPr>
      <w:rFonts w:ascii="Courier New" w:hAnsi="Courier New" w:eastAsia="Courier New" w:cs="Courier New"/>
      <w:sz w:val="20"/>
      <w:szCs w:val="20"/>
    </w:rPr>
  </w:style>
  <w:style w:type="paragraph" w:styleId="Section1">
    <w:name w:val="Section 1"/>
    <w:basedOn w:val="PlainText"/>
    <w:qFormat/>
    <w:pPr>
      <w:keepNext w:val="true"/>
      <w:spacing w:before="0" w:after="240"/>
    </w:pPr>
    <w:rPr>
      <w:rFonts w:ascii="Times New Roman Bold" w:hAnsi="Times New Roman Bold" w:eastAsia="Times New Roman Bold" w:cs="Times New Roman Bold"/>
      <w:b/>
      <w:bCs/>
      <w:caps/>
      <w:sz w:val="24"/>
      <w:szCs w:val="24"/>
    </w:rPr>
  </w:style>
  <w:style w:type="paragraph" w:styleId="Section11">
    <w:name w:val="Section 1.1"/>
    <w:basedOn w:val="Normal"/>
    <w:qFormat/>
    <w:pPr>
      <w:tabs>
        <w:tab w:val="clear" w:pos="720"/>
        <w:tab w:val="left" w:pos="1440" w:leader="none"/>
      </w:tabs>
      <w:spacing w:before="0" w:after="240"/>
      <w:ind w:hanging="720" w:start="1440" w:end="0"/>
    </w:pPr>
    <w:rPr/>
  </w:style>
  <w:style w:type="paragraph" w:styleId="Section111">
    <w:name w:val="Section 1.1.1"/>
    <w:basedOn w:val="Normal"/>
    <w:qFormat/>
    <w:pPr>
      <w:tabs>
        <w:tab w:val="clear" w:pos="720"/>
        <w:tab w:val="left" w:pos="2160" w:leader="none"/>
      </w:tabs>
      <w:spacing w:before="0" w:after="240"/>
      <w:ind w:hanging="720" w:start="2160" w:end="0"/>
    </w:pPr>
    <w:rPr/>
  </w:style>
  <w:style w:type="paragraph" w:styleId="BodyTextIndent2">
    <w:name w:val="Body Text Indent 2"/>
    <w:basedOn w:val="Normal"/>
    <w:qFormat/>
    <w:pPr>
      <w:ind w:hanging="0" w:start="1080" w:end="0"/>
    </w:pPr>
    <w:rPr/>
  </w:style>
  <w:style w:type="paragraph" w:styleId="BodyText2">
    <w:name w:val="Body Text 2"/>
    <w:basedOn w:val="Normal"/>
    <w:qFormat/>
    <w:pPr>
      <w:spacing w:before="0" w:after="120"/>
      <w:ind w:hanging="0" w:start="360" w:end="0"/>
    </w:pPr>
    <w:rPr/>
  </w:style>
  <w:style w:type="paragraph" w:styleId="Centered">
    <w:name w:val="Centered"/>
    <w:basedOn w:val="Normal"/>
    <w:next w:val="BodyText"/>
    <w:qFormat/>
    <w:pPr>
      <w:spacing w:lineRule="exact" w:line="240" w:before="0" w:after="240"/>
      <w:jc w:val="cente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2001-05-04T18:46:00Z</dcterms:created>
  <dc:creator>Bracewell &amp; Patterson</dc:creator>
  <dc:description/>
  <dc:language>en-CA</dc:language>
  <cp:lastModifiedBy>WBice</cp:lastModifiedBy>
  <cp:lastPrinted>2001-05-02T17:02:00Z</cp:lastPrinted>
  <dcterms:modified xsi:type="dcterms:W3CDTF">2001-05-04T18:47:00Z</dcterms:modified>
  <cp:revision>1</cp:revision>
  <dc:subject/>
  <dc:title>Riders to Securities Purchase Agreement</dc:title>
</cp:coreProperties>
</file>