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mallCaps/>
          <w:sz w:val="20"/>
        </w:rPr>
      </w:pPr>
      <w:r>
        <w:rPr>
          <w:b/>
          <w:bCs/>
          <w:smallCaps/>
          <w:sz w:val="20"/>
        </w:rPr>
        <w:t>Summary of two Rate Plans Designed to</w:t>
      </w:r>
    </w:p>
    <w:p>
      <w:pPr>
        <w:pStyle w:val="Heading1"/>
        <w:ind w:hanging="0" w:start="0"/>
        <w:rPr>
          <w:i w:val="false"/>
          <w:i w:val="false"/>
          <w:iCs w:val="false"/>
          <w:smallCaps/>
          <w:sz w:val="20"/>
        </w:rPr>
      </w:pPr>
      <w:r>
        <w:rPr>
          <w:i w:val="false"/>
          <w:iCs w:val="false"/>
          <w:smallCaps/>
          <w:sz w:val="20"/>
        </w:rPr>
        <w:t>Repair the IOUs Financial Position and Provide Better Price Signals to Customers</w:t>
      </w:r>
    </w:p>
    <w:p>
      <w:pPr>
        <w:pStyle w:val="Normal"/>
        <w:rPr>
          <w:i/>
          <w:i/>
          <w:iCs/>
          <w:smallCaps/>
          <w:sz w:val="20"/>
        </w:rPr>
      </w:pPr>
      <w:r>
        <w:rPr>
          <w:i/>
          <w:iCs/>
          <w:smallCaps/>
          <w:sz w:val="20"/>
        </w:rPr>
      </w:r>
    </w:p>
    <w:p>
      <w:pPr>
        <w:pStyle w:val="Normal"/>
        <w:ind w:firstLine="720" w:end="0"/>
        <w:rPr>
          <w:sz w:val="20"/>
        </w:rPr>
      </w:pPr>
      <w:r>
        <w:rPr>
          <w:sz w:val="20"/>
        </w:rPr>
        <w:t>Last week, we retained MRW &amp; Associates to help us get a better idea of the rate plan the utilities would require to return to solvency.  The following provides a brief overview of the modeling results.</w:t>
        <w:tab/>
      </w:r>
    </w:p>
    <w:p>
      <w:pPr>
        <w:pStyle w:val="Normal"/>
        <w:rPr>
          <w:sz w:val="20"/>
        </w:rPr>
      </w:pPr>
      <w:r>
        <w:rPr>
          <w:sz w:val="20"/>
        </w:rPr>
      </w:r>
    </w:p>
    <w:p>
      <w:pPr>
        <w:pStyle w:val="Heading2"/>
        <w:ind w:hanging="0" w:start="0"/>
        <w:rPr>
          <w:sz w:val="20"/>
        </w:rPr>
      </w:pPr>
      <w:r>
        <w:rPr>
          <w:sz w:val="20"/>
        </w:rPr>
        <w:t>The Bottom Line</w:t>
      </w:r>
    </w:p>
    <w:p>
      <w:pPr>
        <w:pStyle w:val="Normal"/>
        <w:numPr>
          <w:ilvl w:val="0"/>
          <w:numId w:val="2"/>
        </w:numPr>
        <w:tabs>
          <w:tab w:val="clear" w:pos="720"/>
        </w:tabs>
        <w:ind w:hanging="360" w:start="360" w:end="0"/>
        <w:rPr>
          <w:sz w:val="20"/>
        </w:rPr>
      </w:pPr>
      <w:r>
        <w:rPr>
          <w:sz w:val="20"/>
        </w:rPr>
        <w:t>By raising average rates 10% over a 10-year period, California could 1) return the utilities to solvency, and 2) help close the supply-demand gap by providing customers with better price signals.</w:t>
      </w:r>
    </w:p>
    <w:p>
      <w:pPr>
        <w:pStyle w:val="Normal"/>
        <w:numPr>
          <w:ilvl w:val="0"/>
          <w:numId w:val="2"/>
        </w:numPr>
        <w:tabs>
          <w:tab w:val="clear" w:pos="720"/>
        </w:tabs>
        <w:ind w:hanging="360" w:start="360" w:end="0"/>
        <w:rPr>
          <w:sz w:val="20"/>
        </w:rPr>
      </w:pPr>
      <w:r>
        <w:rPr>
          <w:sz w:val="20"/>
        </w:rPr>
        <w:t xml:space="preserve">California could achieve these goals under this new rate structure </w:t>
      </w:r>
      <w:r>
        <w:rPr>
          <w:b/>
          <w:bCs/>
          <w:i/>
          <w:iCs/>
          <w:sz w:val="20"/>
        </w:rPr>
        <w:t>and at the same time exclude one-third of residential customers from any increases</w:t>
      </w:r>
      <w:r>
        <w:rPr>
          <w:sz w:val="20"/>
        </w:rPr>
        <w:t>. If California chose not to exclude any customers from the new rate structure, California would only need to raise average rates by about 8.8%.</w:t>
      </w:r>
    </w:p>
    <w:p>
      <w:pPr>
        <w:pStyle w:val="Normal"/>
        <w:numPr>
          <w:ilvl w:val="0"/>
          <w:numId w:val="2"/>
        </w:numPr>
        <w:tabs>
          <w:tab w:val="clear" w:pos="720"/>
        </w:tabs>
        <w:ind w:hanging="360" w:start="360" w:end="0"/>
        <w:rPr>
          <w:sz w:val="20"/>
        </w:rPr>
      </w:pPr>
      <w:r>
        <w:rPr>
          <w:sz w:val="20"/>
        </w:rPr>
        <w:t>This level of increase is in line with increases enacted in other states (e.g., Washington: 28-34%; Montana: 4.5-32%; Idaho: 6.0-24%; Nevada: 7-12.5%; New Mexico 12%).</w:t>
      </w:r>
    </w:p>
    <w:p>
      <w:pPr>
        <w:pStyle w:val="Normal"/>
        <w:rPr>
          <w:sz w:val="20"/>
        </w:rPr>
      </w:pPr>
      <w:r>
        <w:rPr>
          <w:sz w:val="20"/>
        </w:rPr>
      </w:r>
    </w:p>
    <w:p>
      <w:pPr>
        <w:pStyle w:val="Heading2"/>
        <w:ind w:hanging="0" w:start="0"/>
        <w:rPr>
          <w:sz w:val="20"/>
        </w:rPr>
      </w:pPr>
      <w:r>
        <w:rPr>
          <w:sz w:val="20"/>
        </w:rPr>
        <w:t>The Goals</w:t>
      </w:r>
    </w:p>
    <w:p>
      <w:pPr>
        <w:pStyle w:val="Normal"/>
        <w:numPr>
          <w:ilvl w:val="0"/>
          <w:numId w:val="3"/>
        </w:numPr>
        <w:tabs>
          <w:tab w:val="clear" w:pos="720"/>
        </w:tabs>
        <w:ind w:hanging="360" w:start="360" w:end="0"/>
        <w:rPr>
          <w:sz w:val="20"/>
        </w:rPr>
      </w:pPr>
      <w:r>
        <w:rPr>
          <w:sz w:val="20"/>
        </w:rPr>
        <w:t>Develop a rate proposal that will represent one piece of the comprehensive solution that Enron will offer as an alternative to the flawed, misguided approach embraced by the Davis administration.</w:t>
      </w:r>
    </w:p>
    <w:p>
      <w:pPr>
        <w:pStyle w:val="Normal"/>
        <w:numPr>
          <w:ilvl w:val="0"/>
          <w:numId w:val="5"/>
        </w:numPr>
        <w:tabs>
          <w:tab w:val="clear" w:pos="720"/>
        </w:tabs>
        <w:ind w:hanging="360" w:start="360" w:end="0"/>
        <w:rPr>
          <w:sz w:val="20"/>
        </w:rPr>
      </w:pPr>
      <w:r>
        <w:rPr>
          <w:sz w:val="20"/>
        </w:rPr>
        <w:t>Dispel the misinformation disseminated by some (including the Governor) that any attempt to include rate changes in the “solution” would result in “massive, crippling rate increases,” like those experienced in San Diego last summer.</w:t>
      </w:r>
    </w:p>
    <w:p>
      <w:pPr>
        <w:pStyle w:val="Normal"/>
        <w:numPr>
          <w:ilvl w:val="0"/>
          <w:numId w:val="5"/>
        </w:numPr>
        <w:tabs>
          <w:tab w:val="clear" w:pos="720"/>
        </w:tabs>
        <w:ind w:hanging="360" w:start="360" w:end="0"/>
        <w:rPr>
          <w:sz w:val="20"/>
        </w:rPr>
      </w:pPr>
      <w:r>
        <w:rPr>
          <w:sz w:val="20"/>
        </w:rPr>
        <w:t>Show that California can return the utilities to solvency without taking the radical step of nationalizing the state’s electric industry by making modest, reasonable rate increases over an extended period.</w:t>
      </w:r>
    </w:p>
    <w:p>
      <w:pPr>
        <w:pStyle w:val="Normal"/>
        <w:numPr>
          <w:ilvl w:val="0"/>
          <w:numId w:val="5"/>
        </w:numPr>
        <w:tabs>
          <w:tab w:val="clear" w:pos="720"/>
        </w:tabs>
        <w:ind w:hanging="360" w:start="360" w:end="0"/>
        <w:rPr>
          <w:sz w:val="20"/>
        </w:rPr>
      </w:pPr>
      <w:r>
        <w:rPr>
          <w:sz w:val="20"/>
        </w:rPr>
        <w:t>Demonstrate that California can help close the supply-demand gap by providing consumers with better price signals without imposing “rate shock” on the economy, businesses or consumers.</w:t>
      </w:r>
    </w:p>
    <w:p>
      <w:pPr>
        <w:pStyle w:val="Normal"/>
        <w:numPr>
          <w:ilvl w:val="0"/>
          <w:numId w:val="5"/>
        </w:numPr>
        <w:tabs>
          <w:tab w:val="clear" w:pos="720"/>
        </w:tabs>
        <w:ind w:hanging="360" w:start="360" w:end="0"/>
        <w:rPr>
          <w:sz w:val="20"/>
        </w:rPr>
      </w:pPr>
      <w:r>
        <w:rPr>
          <w:sz w:val="20"/>
        </w:rPr>
        <w:t>Show that the increases needed to achieve these results are in line with increases enacted in other Western states.</w:t>
      </w:r>
    </w:p>
    <w:p>
      <w:pPr>
        <w:pStyle w:val="Normal"/>
        <w:rPr>
          <w:sz w:val="20"/>
        </w:rPr>
      </w:pPr>
      <w:r>
        <w:rPr>
          <w:sz w:val="20"/>
        </w:rPr>
      </w:r>
    </w:p>
    <w:p>
      <w:pPr>
        <w:pStyle w:val="Heading2"/>
        <w:ind w:hanging="0" w:start="0"/>
        <w:rPr>
          <w:b w:val="false"/>
          <w:bCs w:val="false"/>
          <w:i w:val="false"/>
          <w:i w:val="false"/>
          <w:iCs w:val="false"/>
          <w:sz w:val="20"/>
        </w:rPr>
      </w:pPr>
      <w:r>
        <w:rPr>
          <w:sz w:val="20"/>
        </w:rPr>
        <w:t>The Assumptions</w:t>
      </w:r>
    </w:p>
    <w:p>
      <w:pPr>
        <w:pStyle w:val="Normal"/>
        <w:numPr>
          <w:ilvl w:val="0"/>
          <w:numId w:val="4"/>
        </w:numPr>
        <w:tabs>
          <w:tab w:val="clear" w:pos="720"/>
        </w:tabs>
        <w:ind w:hanging="360" w:start="360" w:end="0"/>
        <w:rPr>
          <w:sz w:val="20"/>
        </w:rPr>
      </w:pPr>
      <w:r>
        <w:rPr>
          <w:sz w:val="20"/>
        </w:rPr>
        <w:t>Given severe time constraints, the model is simple, but sophisticated enough to provide a credible benchmark.</w:t>
      </w:r>
    </w:p>
    <w:p>
      <w:pPr>
        <w:pStyle w:val="Normal"/>
        <w:numPr>
          <w:ilvl w:val="0"/>
          <w:numId w:val="4"/>
        </w:numPr>
        <w:tabs>
          <w:tab w:val="clear" w:pos="720"/>
        </w:tabs>
        <w:ind w:hanging="360" w:start="360" w:end="0"/>
        <w:rPr>
          <w:sz w:val="20"/>
        </w:rPr>
      </w:pPr>
      <w:r>
        <w:rPr>
          <w:sz w:val="20"/>
        </w:rPr>
        <w:t>It assumes a $10 billion undercollection split 50-50 (i.e., $5 billion each) between Edison and PG&amp;E.  Given that PG&amp;E’s position is worse than Edison’s, we may want to re-adjust the split (say 60-40, with PG&amp;E getting 60%).  If California wants the IOUs to collect less, the increases would be smaller; and if they want them to collect more, the increases would be greater.</w:t>
      </w:r>
    </w:p>
    <w:p>
      <w:pPr>
        <w:pStyle w:val="Normal"/>
        <w:numPr>
          <w:ilvl w:val="0"/>
          <w:numId w:val="4"/>
        </w:numPr>
        <w:tabs>
          <w:tab w:val="clear" w:pos="720"/>
        </w:tabs>
        <w:ind w:hanging="360" w:start="360" w:end="0"/>
        <w:rPr>
          <w:sz w:val="20"/>
        </w:rPr>
      </w:pPr>
      <w:r>
        <w:rPr>
          <w:sz w:val="20"/>
        </w:rPr>
        <w:t>It assumes “all else equal.”  That is, it holds all other variables constant (e.g., sales, revenue requirement, etc.)</w:t>
      </w:r>
    </w:p>
    <w:p>
      <w:pPr>
        <w:pStyle w:val="Normal"/>
        <w:numPr>
          <w:ilvl w:val="0"/>
          <w:numId w:val="4"/>
        </w:numPr>
        <w:tabs>
          <w:tab w:val="clear" w:pos="720"/>
        </w:tabs>
        <w:ind w:hanging="360" w:start="360" w:end="0"/>
        <w:rPr>
          <w:sz w:val="20"/>
        </w:rPr>
      </w:pPr>
      <w:r>
        <w:rPr>
          <w:sz w:val="20"/>
        </w:rPr>
        <w:t>The rate changes are designed only to recover the utilities’ undercollections accrued to date.  The changes do not account for any additional increases that might be necessary to cover DWR purchases.</w:t>
      </w:r>
    </w:p>
    <w:p>
      <w:pPr>
        <w:pStyle w:val="Normal"/>
        <w:rPr>
          <w:sz w:val="20"/>
        </w:rPr>
      </w:pPr>
      <w:r>
        <w:rPr>
          <w:sz w:val="20"/>
        </w:rPr>
      </w:r>
    </w:p>
    <w:p>
      <w:pPr>
        <w:pStyle w:val="Heading3"/>
        <w:ind w:hanging="0" w:start="0"/>
        <w:rPr/>
      </w:pPr>
      <w:r>
        <w:rPr/>
        <w:t>The Scenarios</w:t>
      </w:r>
    </w:p>
    <w:p>
      <w:pPr>
        <w:pStyle w:val="BodyText"/>
        <w:rPr/>
      </w:pPr>
      <w:r>
        <w:rPr/>
        <w:t>Though MRW provided three scenarios, only two are provided.  The third scenario resulted in substantial rate increases over a relatively short period of time and was excluded for that reason.  In addition, this summary only provides results for PG&amp;E, but the results for Edison are remarkably similar.</w:t>
      </w:r>
    </w:p>
    <w:p>
      <w:pPr>
        <w:pStyle w:val="Normal"/>
        <w:rPr>
          <w:sz w:val="20"/>
        </w:rPr>
      </w:pPr>
      <w:r>
        <w:rPr>
          <w:sz w:val="20"/>
        </w:rPr>
      </w:r>
    </w:p>
    <w:p>
      <w:pPr>
        <w:pStyle w:val="Normal"/>
        <w:numPr>
          <w:ilvl w:val="1"/>
          <w:numId w:val="4"/>
        </w:numPr>
        <w:tabs>
          <w:tab w:val="clear" w:pos="720"/>
        </w:tabs>
        <w:ind w:hanging="360" w:start="360" w:end="0"/>
        <w:rPr>
          <w:i/>
          <w:i/>
          <w:iCs/>
          <w:sz w:val="20"/>
        </w:rPr>
      </w:pPr>
      <w:r>
        <w:rPr>
          <w:i/>
          <w:iCs/>
          <w:sz w:val="20"/>
        </w:rPr>
        <w:t>“</w:t>
      </w:r>
      <w:r>
        <w:rPr>
          <w:i/>
          <w:iCs/>
          <w:sz w:val="20"/>
        </w:rPr>
        <w:t>Mortgage-style Recovery”</w:t>
      </w:r>
    </w:p>
    <w:p>
      <w:pPr>
        <w:pStyle w:val="BodyText"/>
        <w:rPr/>
      </w:pPr>
      <w:r>
        <w:rPr/>
        <w:t>Increase rates by an amount necessary to recover the undercollection amortized over a 10-year period.  All customers (small, medium and large) would see their rates go up by the same cents/kwh amount.   Each of the scenarios uses both a 5- and 10-year amortization period, and shows the rate changes that would result if California decided to exclude one-third of residential customers from any rate increases.</w:t>
      </w:r>
    </w:p>
    <w:p>
      <w:pPr>
        <w:pStyle w:val="Normal"/>
        <w:rPr>
          <w:sz w:val="20"/>
        </w:rPr>
      </w:pPr>
      <w:r>
        <w:rPr>
          <w:sz w:val="20"/>
        </w:rPr>
      </w:r>
    </w:p>
    <w:tbl>
      <w:tblPr>
        <w:tblW w:w="5629" w:type="dxa"/>
        <w:jc w:val="center"/>
        <w:tblInd w:w="0" w:type="dxa"/>
        <w:tblLayout w:type="fixed"/>
        <w:tblCellMar>
          <w:top w:w="0" w:type="dxa"/>
          <w:start w:w="30" w:type="dxa"/>
          <w:bottom w:w="0" w:type="dxa"/>
          <w:end w:w="30" w:type="dxa"/>
        </w:tblCellMar>
      </w:tblPr>
      <w:tblGrid>
        <w:gridCol w:w="1897"/>
        <w:gridCol w:w="900"/>
        <w:gridCol w:w="900"/>
        <w:gridCol w:w="900"/>
        <w:gridCol w:w="1032"/>
      </w:tblGrid>
      <w:tr>
        <w:trPr>
          <w:trHeight w:val="280" w:hRule="atLeast"/>
        </w:trPr>
        <w:tc>
          <w:tcPr>
            <w:tcW w:w="5629" w:type="dxa"/>
            <w:gridSpan w:val="5"/>
            <w:tcBorders>
              <w:top w:val="single" w:sz="4" w:space="0" w:color="000000"/>
              <w:start w:val="single" w:sz="4" w:space="0" w:color="000000"/>
              <w:bottom w:val="single" w:sz="4" w:space="0" w:color="000000"/>
              <w:end w:val="single" w:sz="4" w:space="0" w:color="000000"/>
            </w:tcBorders>
          </w:tcPr>
          <w:p>
            <w:pPr>
              <w:pStyle w:val="Heading4"/>
              <w:keepLines/>
              <w:ind w:hanging="0" w:start="0"/>
              <w:rPr>
                <w:sz w:val="20"/>
              </w:rPr>
            </w:pPr>
            <w:r>
              <w:rPr>
                <w:sz w:val="20"/>
              </w:rPr>
              <w:t>PG&amp;E Mortgage Style Recovery of Undercollection</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3732" w:type="dxa"/>
            <w:gridSpan w:val="4"/>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Length of Recovery Period</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 years</w:t>
            </w:r>
          </w:p>
        </w:tc>
        <w:tc>
          <w:tcPr>
            <w:tcW w:w="1932"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 years</w:t>
            </w:r>
          </w:p>
        </w:tc>
      </w:tr>
      <w:tr>
        <w:trPr>
          <w:trHeight w:val="494"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No Residential Customers  Excluded </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0.88</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8.8%</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With Residential  Customers Excluded</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17.5%</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1.00</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10.2%</w:t>
            </w:r>
          </w:p>
        </w:tc>
      </w:tr>
    </w:tbl>
    <w:p>
      <w:pPr>
        <w:pStyle w:val="Normal"/>
        <w:rPr>
          <w:sz w:val="20"/>
        </w:rPr>
      </w:pPr>
      <w:r>
        <w:rPr>
          <w:sz w:val="20"/>
        </w:rPr>
      </w:r>
    </w:p>
    <w:p>
      <w:pPr>
        <w:pStyle w:val="Heading1"/>
        <w:ind w:hanging="0" w:start="0"/>
        <w:jc w:val="start"/>
        <w:rPr>
          <w:sz w:val="20"/>
        </w:rPr>
      </w:pPr>
      <w:r>
        <w:rPr>
          <w:sz w:val="20"/>
        </w:rPr>
      </w:r>
    </w:p>
    <w:tbl>
      <w:tblPr>
        <w:tblW w:w="7824" w:type="dxa"/>
        <w:jc w:val="center"/>
        <w:tblInd w:w="0" w:type="dxa"/>
        <w:tblLayout w:type="fixed"/>
        <w:tblCellMar>
          <w:top w:w="0" w:type="dxa"/>
          <w:start w:w="30" w:type="dxa"/>
          <w:bottom w:w="0" w:type="dxa"/>
          <w:end w:w="30" w:type="dxa"/>
        </w:tblCellMar>
      </w:tblPr>
      <w:tblGrid>
        <w:gridCol w:w="2114"/>
        <w:gridCol w:w="1263"/>
        <w:gridCol w:w="1262"/>
        <w:gridCol w:w="1135"/>
        <w:gridCol w:w="1025"/>
        <w:gridCol w:w="1025"/>
      </w:tblGrid>
      <w:tr>
        <w:trPr>
          <w:trHeight w:val="247" w:hRule="atLeast"/>
        </w:trPr>
        <w:tc>
          <w:tcPr>
            <w:tcW w:w="7824" w:type="dxa"/>
            <w:gridSpan w:val="6"/>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PG&amp;E Class-Specific Rate Increases Under Mortgage-Style Recovery</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4447"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Amortization Period</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 year</w:t>
            </w:r>
          </w:p>
        </w:tc>
        <w:tc>
          <w:tcPr>
            <w:tcW w:w="205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 year</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Old Rate</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27.7%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16.2%</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11.55</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13.25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8.8%</w:t>
            </w:r>
          </w:p>
        </w:tc>
      </w:tr>
    </w:tbl>
    <w:p>
      <w:pPr>
        <w:pStyle w:val="Normal"/>
        <w:rPr>
          <w:sz w:val="20"/>
        </w:rPr>
      </w:pPr>
      <w:r>
        <w:rPr>
          <w:sz w:val="20"/>
        </w:rPr>
      </w:r>
    </w:p>
    <w:p>
      <w:pPr>
        <w:pStyle w:val="Normal"/>
        <w:numPr>
          <w:ilvl w:val="1"/>
          <w:numId w:val="4"/>
        </w:numPr>
        <w:tabs>
          <w:tab w:val="clear" w:pos="720"/>
        </w:tabs>
        <w:ind w:hanging="360" w:start="360" w:end="0"/>
        <w:rPr>
          <w:i/>
          <w:i/>
          <w:iCs/>
          <w:sz w:val="20"/>
        </w:rPr>
      </w:pPr>
      <w:r>
        <w:rPr>
          <w:i/>
          <w:iCs/>
          <w:sz w:val="20"/>
        </w:rPr>
        <w:t>Phased-in “Mortgage-style Recovery”</w:t>
      </w:r>
    </w:p>
    <w:p>
      <w:pPr>
        <w:pStyle w:val="BodyText"/>
        <w:spacing w:before="240" w:after="0"/>
        <w:rPr/>
      </w:pPr>
      <w:r>
        <w:rPr/>
        <w:t>This scenario is similar in all respects to the first except that rates are increased by a modest amount each quarter and then held constant over the remainder of the period.  Like the first scenario, the second structure is designed so as just to pay off the undercollection.  In the first scenario, rates are immediately increased by 10% and stay at the level for the remainder of the (5- or 10-year) period.  In the second scenario (under the 10-year payback plan, for example), it takes four quarters for average rates to increase by about 10%, where they remaining 9 years of the amortization period.</w:t>
      </w:r>
    </w:p>
    <w:p>
      <w:pPr>
        <w:pStyle w:val="Normal"/>
        <w:rPr>
          <w:sz w:val="20"/>
        </w:rPr>
      </w:pPr>
      <w:r>
        <w:rPr>
          <w:sz w:val="20"/>
        </w:rPr>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sz w:val="20"/>
              </w:rPr>
            </w:pPr>
            <w:r>
              <w:rPr>
                <w:b/>
                <w:color w:val="000000"/>
                <w:sz w:val="20"/>
              </w:rPr>
              <w:t>PG&amp;E Class-Specific Rate Increases</w:t>
            </w:r>
          </w:p>
          <w:p>
            <w:pPr>
              <w:pStyle w:val="Heading4"/>
              <w:keepLines/>
              <w:ind w:hanging="0" w:start="0"/>
              <w:rPr>
                <w:sz w:val="20"/>
              </w:rPr>
            </w:pPr>
            <w:r>
              <w:rPr>
                <w:sz w:val="20"/>
              </w:rPr>
              <w:t>Using Phased-In Revenue Increases</w:t>
            </w:r>
          </w:p>
          <w:p>
            <w:pPr>
              <w:pStyle w:val="Normal"/>
              <w:keepNext w:val="true"/>
              <w:keepLines/>
              <w:jc w:val="center"/>
              <w:rPr>
                <w:color w:val="000000"/>
                <w:sz w:val="20"/>
              </w:rPr>
            </w:pPr>
            <w:r>
              <w:rPr>
                <w:b/>
                <w:color w:val="000000"/>
                <w:sz w:val="20"/>
              </w:rPr>
              <w:t>(10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4-40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12.37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11.37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7.21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10.91</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bl>
    <w:p>
      <w:pPr>
        <w:pStyle w:val="Footer"/>
        <w:keepNext w:val="true"/>
        <w:keepLines/>
        <w:tabs>
          <w:tab w:val="clear" w:pos="4320"/>
          <w:tab w:val="clear" w:pos="8640"/>
        </w:tabs>
        <w:rPr>
          <w:sz w:val="20"/>
        </w:rPr>
      </w:pPr>
      <w:r>
        <w:rPr>
          <w:sz w:val="20"/>
        </w:rPr>
      </w:r>
    </w:p>
    <w:p>
      <w:pPr>
        <w:pStyle w:val="Normal"/>
        <w:rPr>
          <w:sz w:val="20"/>
        </w:rPr>
      </w:pPr>
      <w:r>
        <w:rPr>
          <w:sz w:val="20"/>
        </w:rPr>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jc w:val="center"/>
              <w:rPr>
                <w:b/>
                <w:color w:val="000000"/>
                <w:sz w:val="20"/>
              </w:rPr>
            </w:pPr>
            <w:r>
              <w:rPr>
                <w:b/>
                <w:color w:val="000000"/>
                <w:sz w:val="20"/>
              </w:rPr>
              <w:t>PG&amp;E Class-Specific Rate Increases</w:t>
            </w:r>
          </w:p>
          <w:p>
            <w:pPr>
              <w:pStyle w:val="Heading4"/>
              <w:ind w:hanging="0" w:start="0"/>
              <w:rPr>
                <w:sz w:val="20"/>
              </w:rPr>
            </w:pPr>
            <w:r>
              <w:rPr>
                <w:sz w:val="20"/>
              </w:rPr>
              <w:t>Using Phased-In Revenue Increases</w:t>
            </w:r>
          </w:p>
          <w:p>
            <w:pPr>
              <w:pStyle w:val="Normal"/>
              <w:jc w:val="center"/>
              <w:rPr>
                <w:color w:val="000000"/>
                <w:sz w:val="20"/>
              </w:rPr>
            </w:pPr>
            <w:r>
              <w:rPr>
                <w:b/>
                <w:color w:val="000000"/>
                <w:sz w:val="20"/>
              </w:rPr>
              <w:t>(5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12.62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7.58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13.00</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8.15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bl>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4">
    <w:name w:val="heading 4"/>
    <w:basedOn w:val="Normal"/>
    <w:next w:val="Normal"/>
    <w:qFormat/>
    <w:pPr>
      <w:keepNext w:val="true"/>
      <w:widowControl w:val="false"/>
      <w:numPr>
        <w:ilvl w:val="3"/>
        <w:numId w:val="1"/>
      </w:numPr>
      <w:jc w:val="center"/>
      <w:outlineLvl w:val="3"/>
    </w:pPr>
    <w:rPr>
      <w:b/>
      <w:color w:val="000000"/>
      <w:szCs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2001-02-26T22:18:00Z</dcterms:created>
  <dc:creator>jdasovic</dc:creator>
  <dc:description/>
  <dc:language>en-CA</dc:language>
  <cp:lastModifiedBy>jdasovic</cp:lastModifiedBy>
  <cp:lastPrinted>2001-02-26T18:15:00Z</cp:lastPrinted>
  <dcterms:modified xsi:type="dcterms:W3CDTF">2001-02-26T22:18:00Z</dcterms:modified>
  <cp:revision>2</cp:revision>
  <dc:subject/>
  <dc:title>Summary of Alternative Rate Plans Designed to</dc:title>
</cp:coreProperties>
</file>