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sz w:val="24"/>
        </w:rPr>
      </w:pPr>
      <w:r>
        <w:rPr>
          <w:rFonts w:cs="Arial" w:ascii="Arial" w:hAnsi="Arial"/>
          <w:b/>
          <w:sz w:val="24"/>
        </w:rPr>
        <w:t>REUTERS INVESTOR DISTRIBUTION ORDER FORM</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rFonts w:ascii="Arial" w:hAnsi="Arial" w:cs="Arial"/>
                <w:b/>
                <w:sz w:val="18"/>
              </w:rPr>
            </w:pPr>
            <w:r>
              <w:rPr>
                <w:rFonts w:cs="Arial" w:ascii="Arial" w:hAnsi="Arial"/>
                <w:b/>
                <w:sz w:val="18"/>
              </w:rPr>
            </w:r>
          </w:p>
        </w:tc>
      </w:tr>
    </w:tbl>
    <w:p>
      <w:pPr>
        <w:pStyle w:val="Normal"/>
        <w:rPr>
          <w:rFonts w:ascii="Arial" w:hAnsi="Arial" w:cs="Arial"/>
        </w:rPr>
      </w:pPr>
      <w:r>
        <w:rPr>
          <w:rFonts w:cs="Arial" w:ascii="Arial" w:hAnsi="Arial"/>
        </w:rPr>
      </w:r>
    </w:p>
    <w:tbl>
      <w:tblPr>
        <w:tblW w:w="9782" w:type="dxa"/>
        <w:jc w:val="start"/>
        <w:tblInd w:w="-318" w:type="dxa"/>
        <w:tblLayout w:type="fixed"/>
        <w:tblCellMar>
          <w:top w:w="0" w:type="dxa"/>
          <w:start w:w="108" w:type="dxa"/>
          <w:bottom w:w="0" w:type="dxa"/>
          <w:end w:w="108" w:type="dxa"/>
        </w:tblCellMar>
      </w:tblPr>
      <w:tblGrid>
        <w:gridCol w:w="1135"/>
        <w:gridCol w:w="1889"/>
        <w:gridCol w:w="1088"/>
        <w:gridCol w:w="1936"/>
        <w:gridCol w:w="1512"/>
        <w:gridCol w:w="2222"/>
      </w:tblGrid>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Name of Legal Entity Subscribing to Services (“Distributor”)</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State/Country of Incorporation</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280" w:hRule="exac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Billing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Billing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c>
          <w:tcPr>
            <w:tcW w:w="15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22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Installation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Installation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c>
          <w:tcPr>
            <w:tcW w:w="15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22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Technical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c>
          <w:tcPr>
            <w:tcW w:w="15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22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440" w:hRule="atLeast"/>
        </w:trPr>
        <w:tc>
          <w:tcPr>
            <w:tcW w:w="9782" w:type="dxa"/>
            <w:gridSpan w:val="6"/>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Reuter’s Contact</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c>
          <w:tcPr>
            <w:tcW w:w="15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22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s>
        <w:rPr>
          <w:rFonts w:ascii="Arial" w:hAnsi="Arial" w:cs="Arial"/>
          <w:b/>
        </w:rPr>
      </w:pPr>
      <w:r>
        <w:rPr>
          <w:rFonts w:cs="Arial" w:ascii="Arial" w:hAnsi="Arial"/>
          <w:b/>
        </w:rPr>
      </w:r>
    </w:p>
    <w:p>
      <w:pPr>
        <w:pStyle w:val="Normal"/>
        <w:rPr>
          <w:rFonts w:ascii="Arial" w:hAnsi="Arial" w:cs="Arial"/>
          <w:b/>
        </w:rPr>
      </w:pPr>
      <w:r>
        <w:rPr>
          <w:rFonts w:cs="Arial" w:ascii="Arial" w:hAnsi="Arial"/>
          <w:b/>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973"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Description and URL of Distributor’s Internet Service(s) </w:t>
            </w:r>
          </w:p>
          <w:p>
            <w:pPr>
              <w:pStyle w:val="Normal"/>
              <w:rPr>
                <w:rFonts w:ascii="Arial" w:hAnsi="Arial" w:cs="Arial"/>
                <w:b/>
                <w:sz w:val="18"/>
              </w:rPr>
            </w:pPr>
            <w:r>
              <w:rPr>
                <w:rFonts w:cs="Arial" w:ascii="Arial" w:hAnsi="Arial"/>
                <w:b/>
                <w:sz w:val="18"/>
              </w:rPr>
              <w:t>(“Distributor’s Internet Service”):</w:t>
            </w:r>
          </w:p>
          <w:p>
            <w:pPr>
              <w:pStyle w:val="Normal"/>
              <w:rPr>
                <w:rFonts w:ascii="Arial" w:hAnsi="Arial" w:cs="Arial"/>
                <w:b/>
                <w:sz w:val="18"/>
              </w:rPr>
            </w:pPr>
            <w:r>
              <w:rPr>
                <w:rFonts w:cs="Arial" w:ascii="Arial" w:hAnsi="Arial"/>
                <w:b/>
                <w:sz w:val="18"/>
              </w:rPr>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 w:val="left" w:pos="1843" w:leader="none"/>
          <w:tab w:val="left" w:pos="5103" w:leader="none"/>
        </w:tabs>
        <w:ind w:start="-426" w:end="0"/>
        <w:rPr>
          <w:rFonts w:ascii="Arial" w:hAnsi="Arial" w:cs="Arial"/>
        </w:rPr>
      </w:pPr>
      <w:r>
        <w:rPr>
          <w:rFonts w:cs="Arial" w:ascii="Arial" w:hAnsi="Arial"/>
        </w:rPr>
        <w:t>Access:</w:t>
        <w:tab/>
        <w:t>Full</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250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100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Type of Service:</w:t>
        <w:tab/>
        <w:t>Public</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Closed User Group</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Delivery mechanism:</w:t>
        <w:tab/>
        <w:t>RI Market Data API</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SelectServer</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RDF</w:t>
        <w:tab/>
      </w:r>
      <w:r>
        <w:rPr>
          <w:rFonts w:eastAsia="Monotype Sorts" w:cs="Monotype Sorts" w:ascii="Monotype Sorts" w:hAnsi="Monotype Sorts"/>
        </w:rPr>
        <w:sym w:font="Monotype Sorts" w:char="f09d"/>
      </w:r>
      <w:r>
        <w:br w:type="page"/>
      </w:r>
    </w:p>
    <w:p>
      <w:pPr>
        <w:pStyle w:val="Normal"/>
        <w:tabs>
          <w:tab w:val="clear" w:pos="720"/>
          <w:tab w:val="left" w:pos="1418" w:leader="none"/>
          <w:tab w:val="left" w:pos="5103" w:leader="none"/>
        </w:tabs>
        <w:ind w:start="-426" w:end="0"/>
        <w:rPr>
          <w:rFonts w:ascii="Arial" w:hAnsi="Arial" w:cs="Arial"/>
          <w:sz w:val="24"/>
        </w:rPr>
      </w:pPr>
      <w:r>
        <w:rPr>
          <w:rFonts w:cs="Arial" w:ascii="Arial" w:hAnsi="Arial"/>
          <w:sz w:val="24"/>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s>
        <w:ind w:start="-426" w:end="0"/>
        <w:rPr>
          <w:rFonts w:ascii="Arial" w:hAnsi="Arial" w:cs="Arial"/>
        </w:rPr>
      </w:pPr>
      <w:r>
        <w:rPr>
          <w:rFonts w:cs="Arial" w:ascii="Arial" w:hAnsi="Arial"/>
        </w:rPr>
      </w:r>
    </w:p>
    <w:p>
      <w:pPr>
        <w:pStyle w:val="BodyTextIndent2"/>
        <w:rPr>
          <w:color w:val="000000"/>
        </w:rPr>
      </w:pPr>
      <w:r>
        <w:rPr>
          <w:color w:val="000000"/>
        </w:rPr>
        <w:t>In order to deliver Reuters Investor, the following information must be supplied. Failure to do so could delay your access to the Services required.</w:t>
      </w:r>
    </w:p>
    <w:p>
      <w:pPr>
        <w:pStyle w:val="Normal"/>
        <w:ind w:start="-426" w:end="0"/>
        <w:rPr>
          <w:rFonts w:ascii="Arial" w:hAnsi="Arial" w:cs="Arial"/>
          <w:b/>
          <w:color w:val="000000"/>
          <w:sz w:val="18"/>
        </w:rPr>
      </w:pPr>
      <w:r>
        <w:rPr>
          <w:rFonts w:cs="Arial" w:ascii="Arial" w:hAnsi="Arial"/>
          <w:b/>
          <w:color w:val="000000"/>
          <w:sz w:val="18"/>
        </w:rPr>
      </w:r>
    </w:p>
    <w:p>
      <w:pPr>
        <w:pStyle w:val="Normal"/>
        <w:ind w:start="-426" w:end="0"/>
        <w:rPr>
          <w:rFonts w:ascii="Arial" w:hAnsi="Arial" w:cs="Arial"/>
          <w:b/>
          <w:sz w:val="18"/>
        </w:rPr>
      </w:pPr>
      <w:r>
        <w:rPr>
          <w:rFonts w:cs="Arial" w:ascii="Arial" w:hAnsi="Arial"/>
          <w:b/>
          <w:sz w:val="18"/>
        </w:rPr>
      </w:r>
    </w:p>
    <w:p>
      <w:pPr>
        <w:pStyle w:val="Normal"/>
        <w:ind w:start="-426" w:end="0"/>
        <w:rPr>
          <w:rFonts w:ascii="Arial" w:hAnsi="Arial" w:cs="Arial"/>
          <w:b/>
          <w:sz w:val="18"/>
        </w:rPr>
      </w:pPr>
      <w:r>
        <w:rPr>
          <w:rFonts w:cs="Arial" w:ascii="Arial" w:hAnsi="Arial"/>
          <w:b/>
          <w:sz w:val="18"/>
        </w:rPr>
        <w:t>Distributor subscribes to the following services ("Reuters Services"):</w:t>
      </w:r>
    </w:p>
    <w:p>
      <w:pPr>
        <w:pStyle w:val="Normal"/>
        <w:ind w:start="-426" w:end="0"/>
        <w:rPr>
          <w:rFonts w:ascii="Arial" w:hAnsi="Arial" w:cs="Arial"/>
          <w:b/>
          <w:sz w:val="18"/>
        </w:rPr>
      </w:pPr>
      <w:r>
        <w:rPr>
          <w:rFonts w:cs="Arial" w:ascii="Arial" w:hAnsi="Arial"/>
          <w:b/>
          <w:sz w:val="18"/>
        </w:rPr>
      </w:r>
    </w:p>
    <w:p>
      <w:pPr>
        <w:pStyle w:val="Normal"/>
        <w:ind w:start="-426" w:end="0"/>
        <w:rPr/>
      </w:pPr>
      <w:r>
        <w:rPr/>
        <w:t>(A) EITHER</w:t>
      </w:r>
    </w:p>
    <w:tbl>
      <w:tblPr>
        <w:tblW w:w="9215" w:type="dxa"/>
        <w:jc w:val="start"/>
        <w:tblInd w:w="-318" w:type="dxa"/>
        <w:tblLayout w:type="fixed"/>
        <w:tblCellMar>
          <w:top w:w="0" w:type="dxa"/>
          <w:start w:w="108" w:type="dxa"/>
          <w:bottom w:w="0" w:type="dxa"/>
          <w:end w:w="108" w:type="dxa"/>
        </w:tblCellMar>
      </w:tblPr>
      <w:tblGrid>
        <w:gridCol w:w="1277"/>
        <w:gridCol w:w="1276"/>
        <w:gridCol w:w="1134"/>
        <w:gridCol w:w="1275"/>
        <w:gridCol w:w="851"/>
        <w:gridCol w:w="1134"/>
        <w:gridCol w:w="1276"/>
        <w:gridCol w:w="992"/>
      </w:tblGrid>
      <w:tr>
        <w:trPr>
          <w:trHeight w:val="201" w:hRule="atLeast"/>
        </w:trPr>
        <w:tc>
          <w:tcPr>
            <w:tcW w:w="1277" w:type="dxa"/>
            <w:tcBorders>
              <w:bottom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276" w:type="dxa"/>
            <w:tcBorders>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6662" w:type="dxa"/>
            <w:gridSpan w:val="6"/>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Data Distribution Fees (as appropriate)</w:t>
            </w:r>
          </w:p>
        </w:tc>
      </w:tr>
      <w:tr>
        <w:trPr>
          <w:trHeight w:val="201" w:hRule="atLeast"/>
        </w:trPr>
        <w:tc>
          <w:tcPr>
            <w:tcW w:w="1277"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eastAsia="Arial" w:cs="Arial" w:ascii="Arial" w:hAnsi="Arial"/>
                <w:b/>
                <w:sz w:val="16"/>
              </w:rPr>
              <w:t xml:space="preserve"> </w:t>
            </w:r>
            <w:r>
              <w:rPr>
                <w:rFonts w:cs="Arial" w:ascii="Arial" w:hAnsi="Arial"/>
                <w:b/>
                <w:sz w:val="16"/>
              </w:rPr>
              <w:t>Dataset</w:t>
            </w:r>
          </w:p>
        </w:tc>
        <w:tc>
          <w:tcPr>
            <w:tcW w:w="1276"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Minima</w:t>
            </w:r>
          </w:p>
        </w:tc>
        <w:tc>
          <w:tcPr>
            <w:tcW w:w="3260"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CPM Fee/1000 pages</w:t>
            </w:r>
          </w:p>
        </w:tc>
        <w:tc>
          <w:tcPr>
            <w:tcW w:w="3402"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Per User Fee</w:t>
            </w:r>
          </w:p>
        </w:tc>
      </w:tr>
      <w:tr>
        <w:trPr>
          <w:trHeight w:val="200" w:hRule="atLeast"/>
        </w:trPr>
        <w:tc>
          <w:tcPr>
            <w:tcW w:w="1277"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276"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5"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851"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6"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992"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r>
      <w:tr>
        <w:trPr/>
        <w:tc>
          <w:tcPr>
            <w:tcW w:w="127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sz w:val="18"/>
              </w:rPr>
            </w:pPr>
            <w:r>
              <w:rPr>
                <w:rFonts w:cs="Arial" w:ascii="Arial" w:hAnsi="Arial"/>
                <w:b/>
                <w:sz w:val="18"/>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r>
      <w:tr>
        <w:trPr/>
        <w:tc>
          <w:tcPr>
            <w:tcW w:w="127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r>
      <w:tr>
        <w:trPr/>
        <w:tc>
          <w:tcPr>
            <w:tcW w:w="127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r>
    </w:tbl>
    <w:p>
      <w:pPr>
        <w:pStyle w:val="Normal"/>
        <w:ind w:start="-426" w:end="0"/>
        <w:rPr>
          <w:rFonts w:ascii="Arial" w:hAnsi="Arial" w:cs="Arial"/>
          <w:b/>
          <w:sz w:val="18"/>
        </w:rPr>
      </w:pPr>
      <w:r>
        <w:rPr>
          <w:rFonts w:cs="Arial" w:ascii="Arial" w:hAnsi="Arial"/>
          <w:b/>
          <w:sz w:val="18"/>
        </w:rPr>
      </w:r>
    </w:p>
    <w:p>
      <w:pPr>
        <w:pStyle w:val="Normal"/>
        <w:ind w:start="-426" w:end="0"/>
        <w:rPr>
          <w:rFonts w:ascii="Arial" w:hAnsi="Arial" w:cs="Arial"/>
          <w:b/>
          <w:sz w:val="18"/>
        </w:rPr>
      </w:pPr>
      <w:r>
        <w:rPr>
          <w:rFonts w:cs="Arial" w:ascii="Arial" w:hAnsi="Arial"/>
          <w:b/>
          <w:sz w:val="18"/>
        </w:rPr>
        <w:t>(B) OR</w:t>
      </w:r>
    </w:p>
    <w:p>
      <w:pPr>
        <w:pStyle w:val="Normal"/>
        <w:ind w:start="-426" w:end="0"/>
        <w:rPr>
          <w:rFonts w:ascii="Arial" w:hAnsi="Arial" w:cs="Arial"/>
          <w:b/>
          <w:sz w:val="18"/>
        </w:rPr>
      </w:pPr>
      <w:r>
        <w:rPr>
          <w:rFonts w:cs="Arial" w:ascii="Arial" w:hAnsi="Arial"/>
          <w:b/>
          <w:sz w:val="18"/>
        </w:rPr>
      </w:r>
    </w:p>
    <w:tbl>
      <w:tblPr>
        <w:tblW w:w="3830" w:type="dxa"/>
        <w:jc w:val="start"/>
        <w:tblInd w:w="-318" w:type="dxa"/>
        <w:tblLayout w:type="fixed"/>
        <w:tblCellMar>
          <w:top w:w="0" w:type="dxa"/>
          <w:start w:w="108" w:type="dxa"/>
          <w:bottom w:w="0" w:type="dxa"/>
          <w:end w:w="108" w:type="dxa"/>
        </w:tblCellMar>
      </w:tblPr>
      <w:tblGrid>
        <w:gridCol w:w="1277"/>
        <w:gridCol w:w="1277"/>
        <w:gridCol w:w="1274"/>
        <w:gridCol w:w="2"/>
      </w:tblGrid>
      <w:tr>
        <w:trPr/>
        <w:tc>
          <w:tcPr>
            <w:tcW w:w="3828" w:type="dxa"/>
            <w:gridSpan w:val="3"/>
            <w:tcBorders>
              <w:top w:val="dotted" w:sz="4" w:space="0" w:color="000000"/>
              <w:start w:val="dotted" w:sz="4" w:space="0" w:color="000000"/>
              <w:bottom w:val="dotted" w:sz="4" w:space="0" w:color="000000"/>
              <w:end w:val="dotted" w:sz="4" w:space="0" w:color="000000"/>
            </w:tcBorders>
          </w:tcPr>
          <w:p>
            <w:pPr>
              <w:pStyle w:val="Heading6"/>
              <w:ind w:hanging="0" w:start="0"/>
              <w:rPr/>
            </w:pPr>
            <w:r>
              <w:rPr/>
              <w:t>Entry Level Fee</w:t>
            </w:r>
          </w:p>
        </w:tc>
      </w:tr>
      <w:tr>
        <w:trPr/>
        <w:tc>
          <w:tcPr>
            <w:tcW w:w="1277" w:type="dxa"/>
            <w:tcBorders>
              <w:top w:val="dotted" w:sz="4" w:space="0" w:color="000000"/>
              <w:start w:val="dotted" w:sz="4" w:space="0" w:color="000000"/>
              <w:end w:val="dotted" w:sz="4" w:space="0" w:color="000000"/>
            </w:tcBorders>
          </w:tcPr>
          <w:p>
            <w:pPr>
              <w:pStyle w:val="Normal"/>
              <w:rPr>
                <w:rFonts w:ascii="Arial" w:hAnsi="Arial" w:cs="Arial"/>
                <w:b/>
                <w:sz w:val="18"/>
              </w:rPr>
            </w:pPr>
            <w:r>
              <w:rPr>
                <w:rFonts w:cs="Arial" w:ascii="Arial" w:hAnsi="Arial"/>
                <w:b/>
                <w:sz w:val="18"/>
              </w:rPr>
              <w:t>Dataset</w:t>
            </w:r>
          </w:p>
        </w:tc>
        <w:tc>
          <w:tcPr>
            <w:tcW w:w="1277" w:type="dxa"/>
            <w:tcBorders>
              <w:top w:val="dotted" w:sz="4" w:space="0" w:color="000000"/>
              <w:start w:val="dotted" w:sz="4" w:space="0" w:color="000000"/>
              <w:end w:val="dotted" w:sz="4" w:space="0" w:color="000000"/>
            </w:tcBorders>
          </w:tcPr>
          <w:p>
            <w:pPr>
              <w:pStyle w:val="Normal"/>
              <w:rPr>
                <w:rFonts w:ascii="Arial" w:hAnsi="Arial" w:cs="Arial"/>
                <w:b/>
                <w:sz w:val="18"/>
              </w:rPr>
            </w:pPr>
            <w:r>
              <w:rPr>
                <w:rFonts w:cs="Arial" w:ascii="Arial" w:hAnsi="Arial"/>
                <w:b/>
                <w:sz w:val="18"/>
              </w:rPr>
              <w:t>Minimum Fee</w:t>
            </w:r>
          </w:p>
        </w:tc>
        <w:tc>
          <w:tcPr>
            <w:tcW w:w="1276" w:type="dxa"/>
            <w:tcBorders>
              <w:top w:val="dotted" w:sz="4" w:space="0" w:color="000000"/>
              <w:start w:val="dotted" w:sz="4" w:space="0" w:color="000000"/>
              <w:end w:val="dotted" w:sz="4" w:space="0" w:color="000000"/>
            </w:tcBorders>
          </w:tcPr>
          <w:p>
            <w:pPr>
              <w:pStyle w:val="Normal"/>
              <w:rPr>
                <w:rFonts w:ascii="Arial" w:hAnsi="Arial" w:cs="Arial"/>
                <w:b/>
                <w:sz w:val="18"/>
              </w:rPr>
            </w:pPr>
            <w:r>
              <w:rPr>
                <w:rFonts w:cs="Arial" w:ascii="Arial" w:hAnsi="Arial"/>
                <w:b/>
                <w:sz w:val="18"/>
              </w:rPr>
              <w:t>CPM/1000 Pages</w:t>
            </w:r>
          </w:p>
        </w:tc>
      </w:tr>
      <w:tr>
        <w:trPr/>
        <w:tc>
          <w:tcPr>
            <w:tcW w:w="1277" w:type="dxa"/>
            <w:tcBorders>
              <w:top w:val="dotted" w:sz="4" w:space="0" w:color="000000"/>
              <w:start w:val="dotted" w:sz="4" w:space="0" w:color="000000"/>
              <w:bottom w:val="dotted" w:sz="4" w:space="0" w:color="000000"/>
              <w:end w:val="dotted" w:sz="4" w:space="0" w:color="000000"/>
            </w:tcBorders>
            <w:shd w:fill="D8D8D8" w:val="clear"/>
          </w:tcPr>
          <w:p>
            <w:pPr>
              <w:pStyle w:val="Normal"/>
              <w:snapToGrid w:val="false"/>
              <w:rPr>
                <w:rFonts w:ascii="Arial" w:hAnsi="Arial" w:cs="Arial"/>
                <w:b/>
                <w:sz w:val="18"/>
              </w:rPr>
            </w:pPr>
            <w:r>
              <w:rPr>
                <w:rFonts w:cs="Arial" w:ascii="Arial" w:hAnsi="Arial"/>
                <w:b/>
                <w:sz w:val="18"/>
              </w:rPr>
            </w:r>
          </w:p>
        </w:tc>
        <w:tc>
          <w:tcPr>
            <w:tcW w:w="1277" w:type="dxa"/>
            <w:tcBorders>
              <w:top w:val="dotted" w:sz="4" w:space="0" w:color="000000"/>
              <w:start w:val="dotted" w:sz="4" w:space="0" w:color="000000"/>
              <w:bottom w:val="dotted" w:sz="4" w:space="0" w:color="000000"/>
              <w:end w:val="dotted" w:sz="4" w:space="0" w:color="000000"/>
            </w:tcBorders>
            <w:shd w:fill="D8D8D8" w:val="clear"/>
          </w:tcPr>
          <w:p>
            <w:pPr>
              <w:pStyle w:val="Normal"/>
              <w:rPr>
                <w:rFonts w:ascii="Arial" w:hAnsi="Arial" w:cs="Arial"/>
                <w:sz w:val="18"/>
              </w:rPr>
            </w:pPr>
            <w:r>
              <w:rPr>
                <w:rFonts w:cs="Arial" w:ascii="Arial" w:hAnsi="Arial"/>
                <w:sz w:val="18"/>
              </w:rPr>
              <w:t>$2,400</w:t>
            </w:r>
          </w:p>
        </w:tc>
        <w:tc>
          <w:tcPr>
            <w:tcW w:w="1276" w:type="dxa"/>
            <w:tcBorders>
              <w:top w:val="dotted" w:sz="4" w:space="0" w:color="000000"/>
              <w:start w:val="dotted" w:sz="4" w:space="0" w:color="000000"/>
              <w:bottom w:val="dotted" w:sz="4" w:space="0" w:color="000000"/>
              <w:end w:val="dotted" w:sz="4" w:space="0" w:color="000000"/>
            </w:tcBorders>
            <w:shd w:fill="D8D8D8" w:val="clear"/>
          </w:tcPr>
          <w:p>
            <w:pPr>
              <w:pStyle w:val="Normal"/>
              <w:rPr>
                <w:rFonts w:ascii="Arial" w:hAnsi="Arial" w:cs="Arial"/>
                <w:sz w:val="18"/>
              </w:rPr>
            </w:pPr>
            <w:r>
              <w:rPr>
                <w:rFonts w:cs="Arial" w:ascii="Arial" w:hAnsi="Arial"/>
                <w:sz w:val="18"/>
              </w:rPr>
              <w:t>$30</w:t>
            </w:r>
          </w:p>
        </w:tc>
      </w:tr>
      <w:tr>
        <w:trPr/>
        <w:tc>
          <w:tcPr>
            <w:tcW w:w="1277" w:type="dxa"/>
            <w:tcBorders>
              <w:top w:val="dotted" w:sz="4" w:space="0" w:color="000000"/>
              <w:start w:val="dotted" w:sz="4" w:space="0" w:color="000000"/>
              <w:bottom w:val="dotted" w:sz="4" w:space="0" w:color="000000"/>
              <w:end w:val="dotted" w:sz="4" w:space="0" w:color="000000"/>
            </w:tcBorders>
            <w:shd w:fill="D8D8D8" w:val="clear"/>
          </w:tcPr>
          <w:p>
            <w:pPr>
              <w:pStyle w:val="Normal"/>
              <w:snapToGrid w:val="false"/>
              <w:rPr>
                <w:rFonts w:ascii="Arial" w:hAnsi="Arial" w:cs="Arial"/>
                <w:sz w:val="18"/>
              </w:rPr>
            </w:pPr>
            <w:r>
              <w:rPr>
                <w:rFonts w:cs="Arial" w:ascii="Arial" w:hAnsi="Arial"/>
                <w:sz w:val="18"/>
              </w:rPr>
            </w:r>
          </w:p>
        </w:tc>
        <w:tc>
          <w:tcPr>
            <w:tcW w:w="1277" w:type="dxa"/>
            <w:tcBorders>
              <w:top w:val="dotted" w:sz="4" w:space="0" w:color="000000"/>
              <w:start w:val="dotted" w:sz="4" w:space="0" w:color="000000"/>
              <w:bottom w:val="dotted" w:sz="4" w:space="0" w:color="000000"/>
              <w:end w:val="dotted" w:sz="4" w:space="0" w:color="000000"/>
            </w:tcBorders>
            <w:shd w:fill="D8D8D8" w:val="clear"/>
          </w:tcPr>
          <w:p>
            <w:pPr>
              <w:pStyle w:val="Normal"/>
              <w:snapToGrid w:val="false"/>
              <w:rPr>
                <w:rFonts w:ascii="Arial" w:hAnsi="Arial" w:cs="Arial"/>
                <w:sz w:val="18"/>
              </w:rPr>
            </w:pPr>
            <w:r>
              <w:rPr>
                <w:rFonts w:cs="Arial" w:ascii="Arial" w:hAnsi="Arial"/>
                <w:sz w:val="18"/>
              </w:rPr>
            </w:r>
          </w:p>
        </w:tc>
        <w:tc>
          <w:tcPr>
            <w:tcW w:w="1276" w:type="dxa"/>
            <w:tcBorders>
              <w:top w:val="dotted" w:sz="4" w:space="0" w:color="000000"/>
              <w:start w:val="dotted" w:sz="4" w:space="0" w:color="000000"/>
              <w:bottom w:val="dotted" w:sz="4" w:space="0" w:color="000000"/>
              <w:end w:val="dotted" w:sz="4" w:space="0" w:color="000000"/>
            </w:tcBorders>
            <w:shd w:fill="D8D8D8" w:val="clear"/>
          </w:tcPr>
          <w:p>
            <w:pPr>
              <w:pStyle w:val="Normal"/>
              <w:snapToGrid w:val="false"/>
              <w:rPr>
                <w:rFonts w:ascii="Arial" w:hAnsi="Arial" w:cs="Arial"/>
                <w:sz w:val="18"/>
              </w:rPr>
            </w:pPr>
            <w:r>
              <w:rPr>
                <w:rFonts w:cs="Arial" w:ascii="Arial" w:hAnsi="Arial"/>
                <w:sz w:val="18"/>
              </w:rPr>
            </w:r>
          </w:p>
        </w:tc>
      </w:tr>
      <w:tr>
        <w:trPr/>
        <w:tc>
          <w:tcPr>
            <w:tcW w:w="1277" w:type="dxa"/>
            <w:tcBorders>
              <w:top w:val="dotted" w:sz="4" w:space="0" w:color="000000"/>
              <w:start w:val="dotted" w:sz="4" w:space="0" w:color="000000"/>
              <w:bottom w:val="dotted" w:sz="4" w:space="0" w:color="000000"/>
              <w:end w:val="dotted" w:sz="4" w:space="0" w:color="000000"/>
            </w:tcBorders>
            <w:shd w:fill="D8D8D8" w:val="clear"/>
          </w:tcPr>
          <w:p>
            <w:pPr>
              <w:pStyle w:val="Normal"/>
              <w:snapToGrid w:val="false"/>
              <w:rPr>
                <w:rFonts w:ascii="Arial" w:hAnsi="Arial" w:cs="Arial"/>
                <w:sz w:val="18"/>
              </w:rPr>
            </w:pPr>
            <w:r>
              <w:rPr>
                <w:rFonts w:cs="Arial" w:ascii="Arial" w:hAnsi="Arial"/>
                <w:sz w:val="18"/>
              </w:rPr>
            </w:r>
          </w:p>
        </w:tc>
        <w:tc>
          <w:tcPr>
            <w:tcW w:w="1277" w:type="dxa"/>
            <w:tcBorders>
              <w:top w:val="dotted" w:sz="4" w:space="0" w:color="000000"/>
              <w:start w:val="dotted" w:sz="4" w:space="0" w:color="000000"/>
              <w:bottom w:val="dotted" w:sz="4" w:space="0" w:color="000000"/>
              <w:end w:val="dotted" w:sz="4" w:space="0" w:color="000000"/>
            </w:tcBorders>
            <w:shd w:fill="D8D8D8" w:val="clear"/>
          </w:tcPr>
          <w:p>
            <w:pPr>
              <w:pStyle w:val="Normal"/>
              <w:snapToGrid w:val="false"/>
              <w:rPr>
                <w:rFonts w:ascii="Arial" w:hAnsi="Arial" w:cs="Arial"/>
                <w:sz w:val="18"/>
              </w:rPr>
            </w:pPr>
            <w:r>
              <w:rPr>
                <w:rFonts w:cs="Arial" w:ascii="Arial" w:hAnsi="Arial"/>
                <w:sz w:val="18"/>
              </w:rPr>
            </w:r>
          </w:p>
        </w:tc>
        <w:tc>
          <w:tcPr>
            <w:tcW w:w="1276" w:type="dxa"/>
            <w:tcBorders>
              <w:top w:val="dotted" w:sz="4" w:space="0" w:color="000000"/>
              <w:start w:val="dotted" w:sz="4" w:space="0" w:color="000000"/>
              <w:bottom w:val="dotted" w:sz="4" w:space="0" w:color="000000"/>
              <w:end w:val="dotted" w:sz="4" w:space="0" w:color="000000"/>
            </w:tcBorders>
            <w:shd w:fill="D8D8D8" w:val="clear"/>
          </w:tcPr>
          <w:p>
            <w:pPr>
              <w:pStyle w:val="Normal"/>
              <w:snapToGrid w:val="false"/>
              <w:rPr>
                <w:rFonts w:ascii="Arial" w:hAnsi="Arial" w:cs="Arial"/>
                <w:sz w:val="18"/>
              </w:rPr>
            </w:pPr>
            <w:r>
              <w:rPr>
                <w:rFonts w:cs="Arial" w:ascii="Arial" w:hAnsi="Arial"/>
                <w:sz w:val="18"/>
              </w:rPr>
            </w:r>
          </w:p>
        </w:tc>
      </w:tr>
    </w:tbl>
    <w:p>
      <w:pPr>
        <w:pStyle w:val="Normal"/>
        <w:ind w:start="-426" w:end="0"/>
        <w:rPr>
          <w:rFonts w:ascii="Arial" w:hAnsi="Arial" w:cs="Arial"/>
          <w:sz w:val="18"/>
        </w:rPr>
      </w:pPr>
      <w:r>
        <w:rPr>
          <w:rFonts w:cs="Arial" w:ascii="Arial" w:hAnsi="Arial"/>
          <w:sz w:val="18"/>
        </w:rPr>
      </w:r>
    </w:p>
    <w:p>
      <w:pPr>
        <w:pStyle w:val="Normal"/>
        <w:ind w:start="-426" w:end="0"/>
        <w:rPr>
          <w:rFonts w:ascii="Arial" w:hAnsi="Arial" w:cs="Arial"/>
          <w:sz w:val="18"/>
        </w:rPr>
      </w:pPr>
      <w:r>
        <w:rPr>
          <w:rFonts w:cs="Arial" w:ascii="Arial" w:hAnsi="Arial"/>
          <w:sz w:val="18"/>
        </w:rPr>
        <w:t>(Note that US News is only available to Distributor it there is a minimum monthly Entry Level Fee of US$ [8,000])</w:t>
      </w:r>
    </w:p>
    <w:p>
      <w:pPr>
        <w:pStyle w:val="Normal"/>
        <w:ind w:start="-426" w:end="0"/>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ind w:start="-426" w:end="0"/>
        <w:rPr>
          <w:rFonts w:ascii="Arial" w:hAnsi="Arial" w:cs="Arial"/>
          <w:b/>
          <w:sz w:val="18"/>
        </w:rPr>
      </w:pPr>
      <w:r>
        <w:rPr>
          <w:rFonts w:cs="Arial" w:ascii="Arial" w:hAnsi="Arial"/>
          <w:b/>
          <w:sz w:val="18"/>
        </w:rPr>
      </w:r>
    </w:p>
    <w:tbl>
      <w:tblPr>
        <w:tblW w:w="4679" w:type="dxa"/>
        <w:jc w:val="start"/>
        <w:tblInd w:w="-318" w:type="dxa"/>
        <w:tblLayout w:type="fixed"/>
        <w:tblCellMar>
          <w:top w:w="0" w:type="dxa"/>
          <w:start w:w="108" w:type="dxa"/>
          <w:bottom w:w="0" w:type="dxa"/>
          <w:end w:w="108" w:type="dxa"/>
        </w:tblCellMar>
      </w:tblPr>
      <w:tblGrid>
        <w:gridCol w:w="2269"/>
        <w:gridCol w:w="2410"/>
      </w:tblGrid>
      <w:tr>
        <w:trPr/>
        <w:tc>
          <w:tcPr>
            <w:tcW w:w="2269" w:type="dxa"/>
            <w:tcBorders>
              <w:top w:val="dotted" w:sz="4" w:space="0" w:color="000000"/>
              <w:start w:val="dotted" w:sz="4" w:space="0" w:color="000000"/>
            </w:tcBorders>
          </w:tcPr>
          <w:p>
            <w:pPr>
              <w:pStyle w:val="Normal"/>
              <w:rPr>
                <w:rFonts w:ascii="Arial" w:hAnsi="Arial" w:cs="Arial"/>
                <w:sz w:val="18"/>
              </w:rPr>
            </w:pPr>
            <w:r>
              <w:rPr>
                <w:rFonts w:cs="Arial" w:ascii="Arial" w:hAnsi="Arial"/>
                <w:sz w:val="18"/>
              </w:rPr>
              <w:t xml:space="preserve">Once off Setup charge </w:t>
            </w:r>
          </w:p>
        </w:tc>
        <w:tc>
          <w:tcPr>
            <w:tcW w:w="2410" w:type="dxa"/>
            <w:tcBorders>
              <w:top w:val="dotted" w:sz="4" w:space="0" w:color="000000"/>
              <w:end w:val="dotted" w:sz="4" w:space="0" w:color="000000"/>
            </w:tcBorders>
          </w:tcPr>
          <w:p>
            <w:pPr>
              <w:pStyle w:val="Normal"/>
              <w:snapToGrid w:val="false"/>
              <w:rPr>
                <w:rFonts w:ascii="Arial" w:hAnsi="Arial" w:cs="Arial"/>
                <w:b/>
                <w:sz w:val="18"/>
              </w:rPr>
            </w:pPr>
            <w:r>
              <w:rPr>
                <w:rFonts w:cs="Arial" w:ascii="Arial" w:hAnsi="Arial"/>
                <w:b/>
                <w:sz w:val="18"/>
              </w:rPr>
            </w:r>
          </w:p>
        </w:tc>
      </w:tr>
      <w:tr>
        <w:trPr/>
        <w:tc>
          <w:tcPr>
            <w:tcW w:w="2269" w:type="dxa"/>
            <w:tcBorders>
              <w:start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2410" w:type="dxa"/>
            <w:tcBorders>
              <w:bottom w:val="dotted" w:sz="4" w:space="0" w:color="000000"/>
              <w:end w:val="dotted" w:sz="4" w:space="0" w:color="000000"/>
            </w:tcBorders>
          </w:tcPr>
          <w:p>
            <w:pPr>
              <w:pStyle w:val="Normal"/>
              <w:snapToGrid w:val="false"/>
              <w:rPr>
                <w:rFonts w:ascii="Arial" w:hAnsi="Arial" w:cs="Arial"/>
                <w:b/>
                <w:sz w:val="18"/>
              </w:rPr>
            </w:pPr>
            <w:r>
              <w:rPr>
                <w:rFonts w:cs="Arial" w:ascii="Arial" w:hAnsi="Arial"/>
                <w:b/>
                <w:sz w:val="18"/>
              </w:rPr>
            </w:r>
          </w:p>
        </w:tc>
      </w:tr>
    </w:tbl>
    <w:p>
      <w:pPr>
        <w:pStyle w:val="Normal"/>
        <w:ind w:start="-426" w:end="0"/>
        <w:rPr>
          <w:rFonts w:ascii="Arial" w:hAnsi="Arial" w:cs="Arial"/>
        </w:rPr>
      </w:pPr>
      <w:r>
        <w:rPr>
          <w:rFonts w:cs="Arial" w:ascii="Arial" w:hAnsi="Arial"/>
        </w:rPr>
      </w:r>
    </w:p>
    <w:p>
      <w:pPr>
        <w:pStyle w:val="Normal"/>
        <w:ind w:start="-426" w:end="0"/>
        <w:rPr>
          <w:rFonts w:ascii="Arial" w:hAnsi="Arial" w:cs="Arial"/>
        </w:rPr>
      </w:pPr>
      <w:r>
        <w:rPr>
          <w:rFonts w:cs="Arial" w:ascii="Arial" w:hAnsi="Arial"/>
        </w:rPr>
      </w:r>
    </w:p>
    <w:p>
      <w:pPr>
        <w:pStyle w:val="Header"/>
        <w:tabs>
          <w:tab w:val="clear" w:pos="4320"/>
          <w:tab w:val="clear" w:pos="8640"/>
          <w:tab w:val="left" w:pos="1843" w:leader="none"/>
          <w:tab w:val="left" w:pos="3828" w:leader="none"/>
        </w:tabs>
        <w:ind w:start="-426" w:end="0"/>
        <w:rPr>
          <w:rFonts w:ascii="Arial" w:hAnsi="Arial" w:cs="Arial"/>
          <w:color w:val="000000"/>
          <w:sz w:val="18"/>
        </w:rPr>
      </w:pPr>
      <w:r>
        <w:rPr>
          <w:rFonts w:cs="Arial" w:ascii="Arial" w:hAnsi="Arial"/>
          <w:b/>
          <w:color w:val="000000"/>
          <w:sz w:val="18"/>
        </w:rPr>
        <w:t>Language for HTML pages</w:t>
      </w:r>
      <w:r>
        <w:rPr>
          <w:rFonts w:cs="Arial" w:ascii="Arial" w:hAnsi="Arial"/>
          <w:color w:val="000000"/>
          <w:sz w:val="18"/>
        </w:rPr>
        <w:t xml:space="preserve"> (select one):</w:t>
        <w:tab/>
        <w:t>English</w:t>
        <w:tab/>
      </w:r>
      <w:r>
        <w:rPr>
          <w:rFonts w:eastAsia="Monotype Sorts" w:cs="Monotype Sorts" w:ascii="Monotype Sorts" w:hAnsi="Monotype Sorts"/>
          <w:color w:val="000000"/>
          <w:sz w:val="18"/>
        </w:rPr>
        <w:sym w:font="Monotype Sorts" w:char="f09d"/>
      </w:r>
    </w:p>
    <w:p>
      <w:pPr>
        <w:pStyle w:val="BodyTextIndent"/>
        <w:rPr>
          <w:color w:val="000000"/>
          <w:sz w:val="18"/>
        </w:rPr>
      </w:pPr>
      <w:r>
        <w:rPr>
          <w:color w:val="000000"/>
          <w:sz w:val="18"/>
        </w:rPr>
        <w:tab/>
        <w:tab/>
        <w:t>French</w:t>
        <w:tab/>
      </w:r>
      <w:r>
        <w:rPr>
          <w:rFonts w:eastAsia="Monotype Sorts" w:cs="Monotype Sorts" w:ascii="Monotype Sorts" w:hAnsi="Monotype Sorts"/>
          <w:color w:val="000000"/>
          <w:sz w:val="18"/>
        </w:rPr>
        <w:sym w:font="Monotype Sorts" w:char="f09d"/>
      </w:r>
      <w:r>
        <w:rPr>
          <w:color w:val="000000"/>
          <w:sz w:val="18"/>
        </w:rPr>
        <w:br/>
        <w:tab/>
        <w:tab/>
        <w:t>German</w:t>
        <w:tab/>
      </w:r>
      <w:r>
        <w:rPr>
          <w:rFonts w:eastAsia="Monotype Sorts" w:cs="Monotype Sorts" w:ascii="Monotype Sorts" w:hAnsi="Monotype Sorts"/>
          <w:color w:val="000000"/>
          <w:sz w:val="18"/>
        </w:rPr>
        <w:sym w:font="Monotype Sorts" w:char="f09d"/>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tab/>
        <w:tab/>
        <w:t>Italian</w:t>
        <w:tab/>
        <w:tab/>
      </w:r>
      <w:r>
        <w:rPr>
          <w:rFonts w:eastAsia="Monotype Sorts" w:cs="Monotype Sorts" w:ascii="Monotype Sorts" w:hAnsi="Monotype Sorts"/>
          <w:color w:val="000000"/>
          <w:sz w:val="18"/>
        </w:rPr>
        <w:sym w:font="Monotype Sorts" w:char="f09d"/>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tab/>
        <w:tab/>
        <w:t>Spanish</w:t>
        <w:tab/>
      </w:r>
      <w:r>
        <w:rPr>
          <w:rFonts w:eastAsia="Monotype Sorts" w:cs="Monotype Sorts" w:ascii="Monotype Sorts" w:hAnsi="Monotype Sorts"/>
          <w:color w:val="000000"/>
          <w:sz w:val="18"/>
        </w:rPr>
        <w:sym w:font="Monotype Sorts" w:char="f09d"/>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r>
    </w:p>
    <w:tbl>
      <w:tblPr>
        <w:tblW w:w="5388" w:type="dxa"/>
        <w:jc w:val="start"/>
        <w:tblInd w:w="-318" w:type="dxa"/>
        <w:tblLayout w:type="fixed"/>
        <w:tblCellMar>
          <w:top w:w="0" w:type="dxa"/>
          <w:start w:w="108" w:type="dxa"/>
          <w:bottom w:w="0" w:type="dxa"/>
          <w:end w:w="108" w:type="dxa"/>
        </w:tblCellMar>
      </w:tblPr>
      <w:tblGrid>
        <w:gridCol w:w="4112"/>
        <w:gridCol w:w="1276"/>
      </w:tblGrid>
      <w:tr>
        <w:trPr>
          <w:trHeight w:val="440"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color w:val="000000"/>
                <w:sz w:val="18"/>
              </w:rPr>
            </w:pPr>
            <w:r>
              <w:rPr>
                <w:rFonts w:cs="Arial" w:ascii="Arial" w:hAnsi="Arial"/>
                <w:b/>
                <w:color w:val="000000"/>
                <w:sz w:val="18"/>
              </w:rPr>
              <w:t>Time Zone for data timestamps:</w:t>
            </w:r>
          </w:p>
          <w:p>
            <w:pPr>
              <w:pStyle w:val="Normal"/>
              <w:rPr>
                <w:rFonts w:ascii="Arial" w:hAnsi="Arial" w:cs="Arial"/>
                <w:b/>
                <w:color w:val="000000"/>
                <w:sz w:val="18"/>
              </w:rPr>
            </w:pPr>
            <w:r>
              <w:rPr>
                <w:rFonts w:cs="Arial" w:ascii="Arial" w:hAnsi="Arial"/>
                <w:color w:val="000000"/>
                <w:sz w:val="18"/>
              </w:rPr>
              <w:t>(eg GMT, CET, EST, etc):</w:t>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color w:val="000000"/>
                <w:sz w:val="18"/>
              </w:rPr>
            </w:pPr>
            <w:r>
              <w:rPr>
                <w:rFonts w:cs="Arial" w:ascii="Arial" w:hAnsi="Arial"/>
                <w:b/>
                <w:color w:val="000000"/>
                <w:sz w:val="18"/>
              </w:rPr>
            </w:r>
          </w:p>
        </w:tc>
      </w:tr>
    </w:tbl>
    <w:p>
      <w:pPr>
        <w:pStyle w:val="Normal"/>
        <w:tabs>
          <w:tab w:val="clear" w:pos="720"/>
          <w:tab w:val="left" w:pos="1843" w:leader="none"/>
          <w:tab w:val="left" w:pos="5103" w:leader="none"/>
        </w:tabs>
        <w:ind w:start="-426" w:end="0"/>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5103" w:leader="none"/>
        </w:tabs>
        <w:ind w:start="-426" w:end="0"/>
        <w:rPr>
          <w:rFonts w:ascii="Arial" w:hAnsi="Arial" w:cs="Arial"/>
          <w:color w:val="000000"/>
          <w:sz w:val="18"/>
        </w:rPr>
      </w:pPr>
      <w:r>
        <w:rPr>
          <w:rFonts w:cs="Arial" w:ascii="Arial" w:hAnsi="Arial"/>
          <w:color w:val="000000"/>
          <w:sz w:val="18"/>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440"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tabs>
                <w:tab w:val="clear" w:pos="720"/>
                <w:tab w:val="left" w:pos="1843" w:leader="none"/>
                <w:tab w:val="left" w:pos="3828" w:leader="none"/>
              </w:tabs>
              <w:rPr/>
            </w:pPr>
            <w:r>
              <w:rPr>
                <w:rFonts w:cs="Arial" w:ascii="Arial" w:hAnsi="Arial"/>
                <w:b/>
                <w:color w:val="000000"/>
                <w:sz w:val="18"/>
              </w:rPr>
              <w:t>Stylesheet URL</w:t>
            </w:r>
            <w:r>
              <w:rPr>
                <w:rFonts w:cs="Arial" w:ascii="Arial" w:hAnsi="Arial"/>
                <w:color w:val="000000"/>
                <w:sz w:val="18"/>
              </w:rPr>
              <w:t xml:space="preserve"> (ref Programmer's Guide) if you are using HTML pages:</w:t>
            </w:r>
          </w:p>
          <w:p>
            <w:pPr>
              <w:pStyle w:val="Normal"/>
              <w:rPr>
                <w:rFonts w:ascii="Arial" w:hAnsi="Arial" w:cs="Arial"/>
                <w:b/>
                <w:color w:val="000000"/>
                <w:sz w:val="18"/>
              </w:rPr>
            </w:pPr>
            <w:r>
              <w:rPr>
                <w:rFonts w:cs="Arial" w:ascii="Arial" w:hAnsi="Arial"/>
                <w:color w:val="000000"/>
                <w:sz w:val="18"/>
              </w:rPr>
              <w:t>(Note that this URL can be updated later if not yet known)</w:t>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color w:val="000000"/>
                <w:sz w:val="18"/>
              </w:rPr>
            </w:pPr>
            <w:r>
              <w:rPr>
                <w:rFonts w:cs="Arial" w:ascii="Arial" w:hAnsi="Arial"/>
                <w:b/>
                <w:color w:val="000000"/>
                <w:sz w:val="18"/>
              </w:rPr>
            </w:r>
          </w:p>
        </w:tc>
      </w:tr>
    </w:tbl>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3828" w:leader="none"/>
        </w:tabs>
        <w:ind w:start="-426" w:end="0"/>
        <w:rPr/>
      </w:pPr>
      <w:r>
        <w:rPr>
          <w:rFonts w:cs="Arial" w:ascii="Arial" w:hAnsi="Arial"/>
          <w:b/>
          <w:color w:val="000000"/>
          <w:sz w:val="18"/>
        </w:rPr>
        <w:t>HTML News Headline languages</w:t>
      </w:r>
      <w:r>
        <w:rPr>
          <w:rFonts w:cs="Arial" w:ascii="Arial" w:hAnsi="Arial"/>
          <w:color w:val="000000"/>
          <w:sz w:val="18"/>
        </w:rPr>
        <w:t xml:space="preserve"> (select up to three; “Any” is recommended for XML only):</w:t>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t>(Note that English is recommended as one option)</w:t>
      </w:r>
    </w:p>
    <w:p>
      <w:pPr>
        <w:pStyle w:val="Normal"/>
        <w:tabs>
          <w:tab w:val="clear" w:pos="720"/>
          <w:tab w:val="left" w:pos="1843" w:leader="none"/>
          <w:tab w:val="left" w:pos="3828" w:leader="none"/>
        </w:tabs>
        <w:ind w:start="3828" w:end="0"/>
        <w:rPr>
          <w:rFonts w:ascii="Arial" w:hAnsi="Arial" w:cs="Arial"/>
          <w:color w:val="000000"/>
          <w:sz w:val="18"/>
        </w:rPr>
      </w:pPr>
      <w:r>
        <w:rPr>
          <w:rFonts w:cs="Arial" w:ascii="Arial" w:hAnsi="Arial"/>
          <w:color w:val="000000"/>
          <w:sz w:val="18"/>
        </w:rPr>
        <w:t>English</w:t>
        <w:tab/>
      </w:r>
      <w:r>
        <w:rPr>
          <w:rFonts w:eastAsia="Monotype Sorts" w:cs="Monotype Sorts" w:ascii="Monotype Sorts" w:hAnsi="Monotype Sorts"/>
          <w:color w:val="000000"/>
          <w:sz w:val="18"/>
        </w:rPr>
        <w:sym w:font="Monotype Sorts" w:char="f09d"/>
      </w:r>
      <w:r>
        <w:rPr>
          <w:rFonts w:cs="Arial" w:ascii="Arial" w:hAnsi="Arial"/>
          <w:color w:val="000000"/>
          <w:sz w:val="18"/>
        </w:rPr>
        <w:tab/>
        <w:t>Danish</w:t>
        <w:tab/>
        <w:tab/>
      </w:r>
      <w:r>
        <w:rPr>
          <w:rFonts w:eastAsia="Monotype Sorts" w:cs="Monotype Sorts" w:ascii="Monotype Sorts" w:hAnsi="Monotype Sorts"/>
          <w:color w:val="000000"/>
          <w:sz w:val="18"/>
        </w:rPr>
        <w:sym w:font="Monotype Sorts" w:char="f09d"/>
      </w:r>
    </w:p>
    <w:p>
      <w:pPr>
        <w:pStyle w:val="Normal"/>
        <w:tabs>
          <w:tab w:val="clear" w:pos="720"/>
          <w:tab w:val="left" w:pos="1843" w:leader="none"/>
          <w:tab w:val="left" w:pos="3828" w:leader="none"/>
        </w:tabs>
        <w:ind w:start="3828" w:end="0"/>
        <w:rPr>
          <w:rFonts w:ascii="Arial" w:hAnsi="Arial" w:cs="Arial"/>
          <w:color w:val="000000"/>
          <w:sz w:val="18"/>
        </w:rPr>
      </w:pPr>
      <w:r>
        <w:rPr>
          <w:rFonts w:cs="Arial" w:ascii="Arial" w:hAnsi="Arial"/>
          <w:color w:val="000000"/>
          <w:sz w:val="18"/>
        </w:rPr>
        <w:t>French</w:t>
        <w:tab/>
      </w:r>
      <w:r>
        <w:rPr>
          <w:rFonts w:eastAsia="Monotype Sorts" w:cs="Monotype Sorts" w:ascii="Monotype Sorts" w:hAnsi="Monotype Sorts"/>
          <w:color w:val="000000"/>
          <w:sz w:val="18"/>
        </w:rPr>
        <w:sym w:font="Monotype Sorts" w:char="f09d"/>
      </w:r>
      <w:r>
        <w:rPr>
          <w:rFonts w:cs="Arial" w:ascii="Arial" w:hAnsi="Arial"/>
          <w:color w:val="000000"/>
          <w:sz w:val="18"/>
        </w:rPr>
        <w:tab/>
        <w:t>Dutch</w:t>
        <w:tab/>
        <w:tab/>
      </w:r>
      <w:r>
        <w:rPr>
          <w:rFonts w:eastAsia="Monotype Sorts" w:cs="Monotype Sorts" w:ascii="Monotype Sorts" w:hAnsi="Monotype Sorts"/>
          <w:color w:val="000000"/>
          <w:sz w:val="18"/>
        </w:rPr>
        <w:sym w:font="Monotype Sorts" w:char="f09d"/>
      </w:r>
    </w:p>
    <w:p>
      <w:pPr>
        <w:pStyle w:val="Normal"/>
        <w:tabs>
          <w:tab w:val="clear" w:pos="720"/>
          <w:tab w:val="left" w:pos="1843" w:leader="none"/>
          <w:tab w:val="left" w:pos="3828" w:leader="none"/>
        </w:tabs>
        <w:ind w:start="3828" w:end="0"/>
        <w:rPr>
          <w:rFonts w:ascii="Arial" w:hAnsi="Arial" w:cs="Arial"/>
          <w:color w:val="000000"/>
          <w:sz w:val="18"/>
        </w:rPr>
      </w:pPr>
      <w:r>
        <w:rPr>
          <w:rFonts w:cs="Arial" w:ascii="Arial" w:hAnsi="Arial"/>
          <w:color w:val="000000"/>
          <w:sz w:val="18"/>
        </w:rPr>
        <w:t>German</w:t>
        <w:tab/>
      </w:r>
      <w:r>
        <w:rPr>
          <w:rFonts w:eastAsia="Monotype Sorts" w:cs="Monotype Sorts" w:ascii="Monotype Sorts" w:hAnsi="Monotype Sorts"/>
          <w:color w:val="000000"/>
          <w:sz w:val="18"/>
        </w:rPr>
        <w:sym w:font="Monotype Sorts" w:char="f09d"/>
      </w:r>
      <w:r>
        <w:rPr>
          <w:rFonts w:cs="Arial" w:ascii="Arial" w:hAnsi="Arial"/>
          <w:color w:val="000000"/>
          <w:sz w:val="18"/>
        </w:rPr>
        <w:t xml:space="preserve"> </w:t>
        <w:tab/>
        <w:t>Finnish</w:t>
        <w:tab/>
        <w:tab/>
      </w:r>
      <w:r>
        <w:rPr>
          <w:rFonts w:eastAsia="Monotype Sorts" w:cs="Monotype Sorts" w:ascii="Monotype Sorts" w:hAnsi="Monotype Sorts"/>
          <w:color w:val="000000"/>
          <w:sz w:val="18"/>
        </w:rPr>
        <w:sym w:font="Monotype Sorts" w:char="f09d"/>
      </w:r>
    </w:p>
    <w:p>
      <w:pPr>
        <w:pStyle w:val="Normal"/>
        <w:tabs>
          <w:tab w:val="clear" w:pos="720"/>
          <w:tab w:val="left" w:pos="1843" w:leader="none"/>
          <w:tab w:val="left" w:pos="3828" w:leader="none"/>
        </w:tabs>
        <w:ind w:start="3828" w:end="0"/>
        <w:rPr>
          <w:rFonts w:ascii="Arial" w:hAnsi="Arial" w:cs="Arial"/>
          <w:color w:val="000000"/>
          <w:sz w:val="18"/>
        </w:rPr>
      </w:pPr>
      <w:r>
        <w:rPr>
          <w:rFonts w:cs="Arial" w:ascii="Arial" w:hAnsi="Arial"/>
          <w:color w:val="000000"/>
          <w:sz w:val="18"/>
        </w:rPr>
        <w:t>Italian</w:t>
        <w:tab/>
        <w:tab/>
      </w:r>
      <w:r>
        <w:rPr>
          <w:rFonts w:eastAsia="Monotype Sorts" w:cs="Monotype Sorts" w:ascii="Monotype Sorts" w:hAnsi="Monotype Sorts"/>
          <w:color w:val="000000"/>
          <w:sz w:val="18"/>
        </w:rPr>
        <w:sym w:font="Monotype Sorts" w:char="f09d"/>
      </w:r>
      <w:r>
        <w:rPr>
          <w:rFonts w:cs="Arial" w:ascii="Arial" w:hAnsi="Arial"/>
          <w:color w:val="000000"/>
          <w:sz w:val="18"/>
        </w:rPr>
        <w:t xml:space="preserve"> </w:t>
        <w:tab/>
        <w:t>Norwegian</w:t>
        <w:tab/>
      </w:r>
      <w:r>
        <w:rPr>
          <w:rFonts w:eastAsia="Monotype Sorts" w:cs="Monotype Sorts" w:ascii="Monotype Sorts" w:hAnsi="Monotype Sorts"/>
          <w:color w:val="000000"/>
          <w:sz w:val="18"/>
        </w:rPr>
        <w:sym w:font="Monotype Sorts" w:char="f09d"/>
      </w:r>
    </w:p>
    <w:p>
      <w:pPr>
        <w:pStyle w:val="Normal"/>
        <w:tabs>
          <w:tab w:val="clear" w:pos="720"/>
          <w:tab w:val="left" w:pos="1843" w:leader="none"/>
          <w:tab w:val="left" w:pos="3828" w:leader="none"/>
        </w:tabs>
        <w:ind w:start="3828" w:end="0"/>
        <w:rPr>
          <w:rFonts w:ascii="Arial" w:hAnsi="Arial" w:cs="Arial"/>
          <w:color w:val="000000"/>
          <w:sz w:val="18"/>
        </w:rPr>
      </w:pPr>
      <w:r>
        <w:rPr>
          <w:rFonts w:cs="Arial" w:ascii="Arial" w:hAnsi="Arial"/>
          <w:color w:val="000000"/>
          <w:sz w:val="18"/>
        </w:rPr>
        <w:t>Spanish</w:t>
        <w:tab/>
      </w:r>
      <w:r>
        <w:rPr>
          <w:rFonts w:eastAsia="Monotype Sorts" w:cs="Monotype Sorts" w:ascii="Monotype Sorts" w:hAnsi="Monotype Sorts"/>
          <w:color w:val="000000"/>
          <w:sz w:val="18"/>
        </w:rPr>
        <w:sym w:font="Monotype Sorts" w:char="f09d"/>
      </w:r>
      <w:r>
        <w:rPr>
          <w:rFonts w:cs="Arial" w:ascii="Arial" w:hAnsi="Arial"/>
          <w:color w:val="000000"/>
          <w:sz w:val="18"/>
        </w:rPr>
        <w:t xml:space="preserve"> </w:t>
        <w:tab/>
        <w:t>Portuguese</w:t>
        <w:tab/>
      </w:r>
      <w:r>
        <w:rPr>
          <w:rFonts w:eastAsia="Monotype Sorts" w:cs="Monotype Sorts" w:ascii="Monotype Sorts" w:hAnsi="Monotype Sorts"/>
          <w:color w:val="000000"/>
          <w:sz w:val="18"/>
        </w:rPr>
        <w:sym w:font="Monotype Sorts" w:char="f09d"/>
      </w:r>
    </w:p>
    <w:p>
      <w:pPr>
        <w:pStyle w:val="Normal"/>
        <w:tabs>
          <w:tab w:val="clear" w:pos="720"/>
          <w:tab w:val="left" w:pos="1843" w:leader="none"/>
          <w:tab w:val="left" w:pos="3828" w:leader="none"/>
        </w:tabs>
        <w:ind w:start="3828" w:end="0"/>
        <w:rPr>
          <w:rFonts w:ascii="Arial" w:hAnsi="Arial" w:cs="Arial"/>
          <w:color w:val="000000"/>
          <w:sz w:val="18"/>
        </w:rPr>
      </w:pPr>
      <w:r>
        <w:rPr>
          <w:rFonts w:cs="Arial" w:ascii="Arial" w:hAnsi="Arial"/>
          <w:color w:val="000000"/>
          <w:sz w:val="18"/>
        </w:rPr>
        <w:t>Swedish</w:t>
        <w:tab/>
      </w:r>
      <w:r>
        <w:rPr>
          <w:rFonts w:eastAsia="Monotype Sorts" w:cs="Monotype Sorts" w:ascii="Monotype Sorts" w:hAnsi="Monotype Sorts"/>
          <w:color w:val="000000"/>
          <w:sz w:val="18"/>
        </w:rPr>
        <w:sym w:font="Monotype Sorts" w:char="f09d"/>
      </w:r>
      <w:r>
        <w:rPr>
          <w:rFonts w:cs="Arial" w:ascii="Arial" w:hAnsi="Arial"/>
          <w:color w:val="000000"/>
          <w:sz w:val="18"/>
        </w:rPr>
        <w:t xml:space="preserve"> </w:t>
        <w:tab/>
        <w:t xml:space="preserve">Any (for XML) </w:t>
        <w:tab/>
      </w:r>
      <w:r>
        <w:rPr>
          <w:rFonts w:eastAsia="Monotype Sorts" w:cs="Monotype Sorts" w:ascii="Monotype Sorts" w:hAnsi="Monotype Sorts"/>
          <w:color w:val="000000"/>
          <w:sz w:val="18"/>
        </w:rPr>
        <w:sym w:font="Monotype Sorts" w:char="f09d"/>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Legend</w:t>
        <w:tab/>
        <w:t>D/R: Delayed / Real-time</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ab/>
        <w:t>C/P: Closed user group / Public user group</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color w:val="000000"/>
          <w:sz w:val="18"/>
        </w:rPr>
      </w:pPr>
      <w:r>
        <w:rPr>
          <w:rFonts w:cs="Arial" w:ascii="Arial" w:hAnsi="Arial"/>
          <w:color w:val="000000"/>
          <w:sz w:val="18"/>
        </w:rPr>
        <w:t>Please complete exchange boxes with D or R and C or P</w:t>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tbl>
      <w:tblPr>
        <w:tblW w:w="9498" w:type="dxa"/>
        <w:jc w:val="start"/>
        <w:tblInd w:w="-176" w:type="dxa"/>
        <w:tblLayout w:type="fixed"/>
        <w:tblCellMar>
          <w:top w:w="0" w:type="dxa"/>
          <w:start w:w="108" w:type="dxa"/>
          <w:bottom w:w="0" w:type="dxa"/>
          <w:end w:w="108" w:type="dxa"/>
        </w:tblCellMar>
      </w:tblPr>
      <w:tblGrid>
        <w:gridCol w:w="1560"/>
        <w:gridCol w:w="1418"/>
        <w:gridCol w:w="708"/>
        <w:gridCol w:w="709"/>
        <w:gridCol w:w="284"/>
        <w:gridCol w:w="283"/>
        <w:gridCol w:w="567"/>
        <w:gridCol w:w="284"/>
        <w:gridCol w:w="283"/>
        <w:gridCol w:w="567"/>
        <w:gridCol w:w="284"/>
        <w:gridCol w:w="283"/>
        <w:gridCol w:w="567"/>
        <w:gridCol w:w="284"/>
        <w:gridCol w:w="283"/>
        <w:gridCol w:w="567"/>
        <w:gridCol w:w="284"/>
        <w:gridCol w:w="283"/>
      </w:tblGrid>
      <w:tr>
        <w:trPr/>
        <w:tc>
          <w:tcPr>
            <w:tcW w:w="2978" w:type="dxa"/>
            <w:gridSpan w:val="2"/>
            <w:vMerge w:val="restart"/>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COUNTRY</w:t>
            </w:r>
          </w:p>
          <w:p>
            <w:pPr>
              <w:pStyle w:val="Header"/>
              <w:tabs>
                <w:tab w:val="left" w:pos="1843" w:leader="none"/>
                <w:tab w:val="left" w:pos="3828" w:leader="none"/>
                <w:tab w:val="center" w:pos="4320" w:leader="none"/>
                <w:tab w:val="right" w:pos="8640" w:leader="none"/>
              </w:tabs>
              <w:jc w:val="center"/>
              <w:rPr>
                <w:rFonts w:ascii="Arial" w:hAnsi="Arial" w:cs="Arial"/>
                <w:b/>
                <w:color w:val="000000"/>
                <w:sz w:val="18"/>
              </w:rPr>
            </w:pPr>
            <w:r>
              <w:rPr>
                <w:rFonts w:cs="Arial" w:ascii="Arial" w:hAnsi="Arial"/>
                <w:b/>
                <w:color w:val="000000"/>
                <w:sz w:val="18"/>
              </w:rPr>
              <w:t>Data-Set</w:t>
            </w:r>
          </w:p>
        </w:tc>
        <w:tc>
          <w:tcPr>
            <w:tcW w:w="708" w:type="dxa"/>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News</w:t>
            </w:r>
          </w:p>
        </w:tc>
        <w:tc>
          <w:tcPr>
            <w:tcW w:w="5812" w:type="dxa"/>
            <w:gridSpan w:val="15"/>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Exchanges</w:t>
            </w:r>
          </w:p>
        </w:tc>
      </w:tr>
      <w:tr>
        <w:trPr>
          <w:trHeight w:val="245" w:hRule="atLeast"/>
        </w:trPr>
        <w:tc>
          <w:tcPr>
            <w:tcW w:w="2978" w:type="dxa"/>
            <w:gridSpan w:val="2"/>
            <w:vMerge w:val="continue"/>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snapToGrid w:val="false"/>
              <w:jc w:val="center"/>
              <w:rPr>
                <w:rFonts w:ascii="Arial" w:hAnsi="Arial" w:cs="Arial"/>
                <w:b/>
                <w:color w:val="000000"/>
                <w:sz w:val="18"/>
              </w:rPr>
            </w:pPr>
            <w:r>
              <w:rPr>
                <w:rFonts w:cs="Arial" w:ascii="Arial" w:hAnsi="Arial"/>
                <w:b/>
                <w:color w:val="000000"/>
                <w:sz w:val="18"/>
              </w:rPr>
            </w:r>
          </w:p>
        </w:tc>
        <w:tc>
          <w:tcPr>
            <w:tcW w:w="708" w:type="dxa"/>
            <w:tcBorders>
              <w:start w:val="single" w:sz="6" w:space="0" w:color="000000"/>
              <w:end w:val="single" w:sz="6"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9" w:type="dxa"/>
            <w:tcBorders>
              <w:top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single" w:sz="6"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USA</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top w:val="dotted" w:sz="4" w:space="0" w:color="000000"/>
              <w:start w:val="single" w:sz="6" w:space="0" w:color="000000"/>
              <w:bottom w:val="single"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single"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USA/Canada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NYSE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color w:val="000000"/>
                <w:sz w:val="12"/>
              </w:rPr>
              <w:t>ASE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8"/>
              </w:rPr>
            </w:pPr>
            <w:r>
              <w:rPr>
                <w:rFonts w:cs="Arial" w:ascii="Arial" w:hAnsi="Arial"/>
                <w:color w:val="000000"/>
                <w:sz w:val="12"/>
              </w:rPr>
              <w:t>NAS</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CEG</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Latam /Spain</w:t>
            </w:r>
          </w:p>
        </w:tc>
        <w:tc>
          <w:tcPr>
            <w:tcW w:w="1418" w:type="dxa"/>
            <w:tcBorders>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Spain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MCE</w:t>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PAN Europe</w:t>
            </w:r>
          </w:p>
        </w:tc>
        <w:tc>
          <w:tcPr>
            <w:tcW w:w="1418" w:type="dxa"/>
            <w:tcBorders>
              <w:top w:val="single"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EAS</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STX</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ENM</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color w:val="000000"/>
                <w:sz w:val="18"/>
              </w:rPr>
            </w:pPr>
            <w:r>
              <w:rPr>
                <w:rFonts w:eastAsia="Arial" w:cs="Arial" w:ascii="Arial" w:hAnsi="Arial"/>
                <w:b/>
                <w:color w:val="000000"/>
              </w:rPr>
              <w:t xml:space="preserve"> </w:t>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VIE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OTB</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Belgium</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BRU</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BFX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Denmark</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CPH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Finland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HEL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France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MNP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Germany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GSE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EUR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XTR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Greece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athens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Ireland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irish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Italy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IT1</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Luxembourg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LUX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Netherlands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EOE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Norway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Portugal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interbls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porto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Sweden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SOM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Switzerland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CHX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UK</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LIF</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FS1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Asia Pacific</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Australia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ASX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SFE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HongKong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HKG</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India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bombay</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calcutta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delhi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madras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Japan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Korea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New Zealand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NZE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Singapore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SIM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Taiwan</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TAI</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Emerg.Markets</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left" w:pos="1843" w:leader="none"/>
                <w:tab w:val="left" w:pos="3828" w:leader="none"/>
                <w:tab w:val="center" w:pos="4320" w:leader="none"/>
                <w:tab w:val="right" w:pos="8640"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Gulf States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bahrain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tel aviv</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kuwait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South Africa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JSE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Turkey</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IST</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6" w:space="0" w:color="000000"/>
              <w:start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b/>
                <w:color w:val="000000"/>
              </w:rPr>
            </w:pPr>
            <w:r>
              <w:rPr>
                <w:rFonts w:cs="Arial" w:ascii="Arial" w:hAnsi="Arial"/>
                <w:b/>
                <w:color w:val="000000"/>
              </w:rPr>
              <w:t>International</w:t>
            </w:r>
          </w:p>
        </w:tc>
        <w:tc>
          <w:tcPr>
            <w:tcW w:w="1418" w:type="dxa"/>
            <w:tcBorders>
              <w:top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All countries</w:t>
            </w:r>
          </w:p>
        </w:tc>
        <w:tc>
          <w:tcPr>
            <w:tcW w:w="70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bottom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bottom w:val="single" w:sz="6" w:space="0" w:color="000000"/>
              <w:end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bl>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Normal"/>
        <w:ind w:start="-426" w:end="0"/>
        <w:rPr>
          <w:rFonts w:ascii="Arial" w:hAnsi="Arial" w:cs="Arial"/>
          <w:b/>
          <w:color w:val="000000"/>
          <w:sz w:val="18"/>
        </w:rPr>
      </w:pPr>
      <w:r>
        <w:rPr>
          <w:rFonts w:cs="Arial" w:ascii="Arial" w:hAnsi="Arial"/>
          <w:b/>
          <w:color w:val="000000"/>
          <w:sz w:val="18"/>
        </w:rPr>
      </w:r>
    </w:p>
    <w:p>
      <w:pPr>
        <w:pStyle w:val="Normal"/>
        <w:ind w:start="-426" w:end="0"/>
        <w:rPr>
          <w:rFonts w:ascii="Arial" w:hAnsi="Arial" w:cs="Arial"/>
          <w:b/>
          <w:sz w:val="18"/>
        </w:rPr>
      </w:pPr>
      <w:r>
        <w:rPr>
          <w:rFonts w:cs="Arial" w:ascii="Arial" w:hAnsi="Arial"/>
          <w:b/>
          <w:sz w:val="18"/>
        </w:rPr>
        <w:t>Distributor has entered into a separate agreement for the following services:</w:t>
      </w:r>
    </w:p>
    <w:p>
      <w:pPr>
        <w:pStyle w:val="Normal"/>
        <w:ind w:start="-426" w:end="0"/>
        <w:rPr>
          <w:rFonts w:ascii="Arial" w:hAnsi="Arial" w:cs="Arial"/>
          <w:b/>
          <w:sz w:val="18"/>
        </w:rPr>
      </w:pPr>
      <w:r>
        <w:rPr>
          <w:rFonts w:cs="Arial" w:ascii="Arial" w:hAnsi="Arial"/>
          <w:b/>
          <w:sz w:val="18"/>
        </w:rPr>
      </w:r>
    </w:p>
    <w:tbl>
      <w:tblPr>
        <w:tblW w:w="9782" w:type="dxa"/>
        <w:jc w:val="start"/>
        <w:tblInd w:w="-318" w:type="dxa"/>
        <w:tblLayout w:type="fixed"/>
        <w:tblCellMar>
          <w:top w:w="0" w:type="dxa"/>
          <w:start w:w="108" w:type="dxa"/>
          <w:bottom w:w="0" w:type="dxa"/>
          <w:end w:w="108" w:type="dxa"/>
        </w:tblCellMar>
      </w:tblPr>
      <w:tblGrid>
        <w:gridCol w:w="6522"/>
        <w:gridCol w:w="3260"/>
      </w:tblGrid>
      <w:tr>
        <w:trPr>
          <w:trHeight w:val="77" w:hRule="atLeast"/>
        </w:trPr>
        <w:tc>
          <w:tcPr>
            <w:tcW w:w="652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sz w:val="16"/>
              </w:rPr>
            </w:pPr>
            <w:r>
              <w:rPr>
                <w:rFonts w:cs="Arial" w:ascii="Arial" w:hAnsi="Arial"/>
                <w:sz w:val="16"/>
              </w:rPr>
              <w:t>Equipment provided to receive Reuters Services ("Equipment")</w:t>
            </w:r>
          </w:p>
        </w:tc>
        <w:tc>
          <w:tcPr>
            <w:tcW w:w="3260"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6"/>
              </w:rPr>
            </w:pPr>
            <w:r>
              <w:rPr>
                <w:rFonts w:cs="Arial" w:ascii="Arial" w:hAnsi="Arial"/>
                <w:sz w:val="16"/>
              </w:rPr>
              <w:t>*</w:t>
            </w:r>
          </w:p>
        </w:tc>
      </w:tr>
      <w:tr>
        <w:trPr/>
        <w:tc>
          <w:tcPr>
            <w:tcW w:w="652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sz w:val="16"/>
              </w:rPr>
            </w:pPr>
            <w:r>
              <w:rPr>
                <w:rFonts w:cs="Arial" w:ascii="Arial" w:hAnsi="Arial"/>
                <w:sz w:val="16"/>
              </w:rPr>
              <w:t>Software provided to receive Reuters Services ("Software")</w:t>
            </w:r>
          </w:p>
        </w:tc>
        <w:tc>
          <w:tcPr>
            <w:tcW w:w="3260"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6"/>
              </w:rPr>
            </w:pPr>
            <w:r>
              <w:rPr>
                <w:rFonts w:cs="Arial" w:ascii="Arial" w:hAnsi="Arial"/>
                <w:sz w:val="16"/>
              </w:rPr>
              <w:t>*</w:t>
            </w:r>
          </w:p>
        </w:tc>
      </w:tr>
    </w:tbl>
    <w:p>
      <w:pPr>
        <w:pStyle w:val="Normal"/>
        <w:ind w:start="-426" w:end="0"/>
        <w:rPr>
          <w:rFonts w:ascii="Arial" w:hAnsi="Arial" w:cs="Arial"/>
          <w:sz w:val="16"/>
        </w:rPr>
      </w:pPr>
      <w:r>
        <w:rPr>
          <w:rFonts w:cs="Arial" w:ascii="Arial" w:hAnsi="Arial"/>
          <w:sz w:val="16"/>
        </w:rPr>
        <w:t>*Pls provide reference to relevant contract</w:t>
      </w:r>
    </w:p>
    <w:p>
      <w:pPr>
        <w:pStyle w:val="Normal"/>
        <w:ind w:start="-426" w:end="0"/>
        <w:rPr>
          <w:rFonts w:ascii="Arial" w:hAnsi="Arial" w:cs="Arial"/>
          <w:b/>
          <w:sz w:val="16"/>
        </w:rPr>
      </w:pPr>
      <w:r>
        <w:rPr>
          <w:rFonts w:cs="Arial" w:ascii="Arial" w:hAnsi="Arial"/>
          <w:b/>
          <w:sz w:val="16"/>
        </w:rPr>
      </w:r>
    </w:p>
    <w:tbl>
      <w:tblPr>
        <w:tblW w:w="9782" w:type="dxa"/>
        <w:jc w:val="start"/>
        <w:tblInd w:w="-318" w:type="dxa"/>
        <w:tblLayout w:type="fixed"/>
        <w:tblCellMar>
          <w:top w:w="0" w:type="dxa"/>
          <w:start w:w="108" w:type="dxa"/>
          <w:bottom w:w="0" w:type="dxa"/>
          <w:end w:w="108" w:type="dxa"/>
        </w:tblCellMar>
      </w:tblPr>
      <w:tblGrid>
        <w:gridCol w:w="2127"/>
        <w:gridCol w:w="7655"/>
      </w:tblGrid>
      <w:tr>
        <w:trPr/>
        <w:tc>
          <w:tcPr>
            <w:tcW w:w="2127"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sz w:val="16"/>
              </w:rPr>
            </w:pPr>
            <w:r>
              <w:rPr>
                <w:rFonts w:cs="Arial" w:ascii="Arial" w:hAnsi="Arial"/>
                <w:sz w:val="16"/>
              </w:rPr>
              <w:t>Other Fees</w:t>
            </w:r>
          </w:p>
        </w:tc>
        <w:tc>
          <w:tcPr>
            <w:tcW w:w="765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r>
    </w:tbl>
    <w:p>
      <w:pPr>
        <w:pStyle w:val="Normal"/>
        <w:ind w:start="-426" w:end="0"/>
        <w:jc w:val="both"/>
        <w:rPr>
          <w:rFonts w:ascii="Arial" w:hAnsi="Arial" w:cs="Arial"/>
          <w:sz w:val="16"/>
        </w:rPr>
      </w:pPr>
      <w:r>
        <w:rPr>
          <w:rFonts w:cs="Arial" w:ascii="Arial" w:hAnsi="Arial"/>
          <w:sz w:val="16"/>
        </w:rPr>
      </w:r>
    </w:p>
    <w:p>
      <w:pPr>
        <w:pStyle w:val="Normal"/>
        <w:ind w:start="-426" w:end="0"/>
        <w:rPr>
          <w:rFonts w:ascii="Arial" w:hAnsi="Arial" w:cs="Arial"/>
          <w:b/>
        </w:rPr>
      </w:pPr>
      <w:r>
        <w:rPr>
          <w:rFonts w:cs="Arial" w:ascii="Arial" w:hAnsi="Arial"/>
          <w:b/>
        </w:rPr>
        <w:br/>
      </w:r>
    </w:p>
    <w:p>
      <w:pPr>
        <w:pStyle w:val="Normal"/>
        <w:tabs>
          <w:tab w:val="clear" w:pos="720"/>
          <w:tab w:val="left" w:pos="6840" w:leader="none"/>
        </w:tabs>
        <w:ind w:start="-426" w:end="0"/>
        <w:jc w:val="both"/>
        <w:rPr/>
      </w:pPr>
      <w:r>
        <w:rPr>
          <w:rFonts w:cs="Arial" w:ascii="Arial" w:hAnsi="Arial"/>
          <w:b/>
          <w:sz w:val="18"/>
        </w:rPr>
        <w:t>SECURITY DEPOSIT</w:t>
      </w:r>
      <w:r>
        <w:rPr>
          <w:rFonts w:cs="Arial" w:ascii="Arial" w:hAnsi="Arial"/>
          <w:sz w:val="18"/>
        </w:rPr>
        <w:t xml:space="preserve">: A security deposit  (“Security Deposit”) in the amount of </w:t>
      </w:r>
      <w:r>
        <w:rPr>
          <w:rFonts w:cs="Arial" w:ascii="Arial" w:hAnsi="Arial"/>
          <w:sz w:val="18"/>
          <w:shd w:fill="E5E5E5" w:val="clear"/>
        </w:rPr>
        <w:t>________________</w:t>
      </w:r>
      <w:r>
        <w:rPr>
          <w:rFonts w:cs="Arial" w:ascii="Arial" w:hAnsi="Arial"/>
          <w:sz w:val="18"/>
        </w:rPr>
        <w:t>_will be paid by the Distributor upon the execution hereof.  This Security Deposit may be used, applied or retained by Reuters, in whole or in part, to the extent required for the payment of any fees or charges payable hereunder as to which the Distributor is in default, or for any sum which Reuters may expend or may be required to expend by reason of the Distributor’s default hereunder.  The balance of the Security Deposit, if any, will be returned to the Distributor upon the termination of this Agreement after the return of the Equipment and Software, if any, to Reuters.</w:t>
      </w:r>
    </w:p>
    <w:p>
      <w:pPr>
        <w:pStyle w:val="Normal"/>
        <w:ind w:start="-426" w:end="0"/>
        <w:jc w:val="both"/>
        <w:rPr>
          <w:rFonts w:ascii="Arial" w:hAnsi="Arial" w:cs="Arial"/>
          <w:sz w:val="18"/>
        </w:rPr>
      </w:pPr>
      <w:r>
        <w:rPr>
          <w:rFonts w:cs="Arial" w:ascii="Arial" w:hAnsi="Arial"/>
          <w:sz w:val="18"/>
        </w:rPr>
      </w:r>
    </w:p>
    <w:p>
      <w:pPr>
        <w:pStyle w:val="Normal"/>
        <w:ind w:start="-426" w:end="0"/>
        <w:jc w:val="both"/>
        <w:rPr>
          <w:rFonts w:ascii="Arial" w:hAnsi="Arial" w:cs="Arial"/>
          <w:sz w:val="18"/>
        </w:rPr>
      </w:pPr>
      <w:r>
        <w:rPr>
          <w:rFonts w:cs="Arial" w:ascii="Arial" w:hAnsi="Arial"/>
          <w:sz w:val="18"/>
        </w:rPr>
      </w:r>
    </w:p>
    <w:p>
      <w:pPr>
        <w:pStyle w:val="Normal"/>
        <w:ind w:start="-426" w:end="0"/>
        <w:jc w:val="both"/>
        <w:rPr>
          <w:rFonts w:ascii="Arial" w:hAnsi="Arial" w:cs="Arial"/>
          <w:sz w:val="18"/>
        </w:rPr>
      </w:pPr>
      <w:r>
        <w:rPr>
          <w:rFonts w:cs="Arial" w:ascii="Arial" w:hAnsi="Arial"/>
          <w:sz w:val="18"/>
        </w:rPr>
      </w:r>
    </w:p>
    <w:p>
      <w:pPr>
        <w:pStyle w:val="BodyText"/>
        <w:ind w:start="-426" w:end="0"/>
        <w:rPr>
          <w:rFonts w:ascii="Arial" w:hAnsi="Arial" w:cs="Arial"/>
          <w:sz w:val="18"/>
        </w:rPr>
      </w:pPr>
      <w:r>
        <w:rPr>
          <w:rFonts w:cs="Arial" w:ascii="Arial" w:hAnsi="Arial"/>
          <w:sz w:val="18"/>
        </w:rPr>
        <w:t>By signing below, Distributor agrees to subscribe to the Reuters Services subject to all of the terms and conditions set forth on this Reuters On-Line Investor Distribution Order Form (“Order Form”), the attached Reuters On-Line Investor Distribution Terms and Conditions (“Terms and Conditions”), and all addenda, amendments and schedules thereto.  The Order Form and Terms and Conditions, including all addenda, amendments and schedules thereto, shall hereinafter collectively be referred to as the “Agreement,” and shall together form the entire agreement between the parties regarding the subject matter hereof.</w:t>
      </w:r>
    </w:p>
    <w:p>
      <w:pPr>
        <w:pStyle w:val="Normal"/>
        <w:ind w:start="-426" w:end="0"/>
        <w:jc w:val="both"/>
        <w:rPr>
          <w:rFonts w:ascii="Arial" w:hAnsi="Arial" w:cs="Arial"/>
          <w:sz w:val="22"/>
        </w:rPr>
      </w:pPr>
      <w:r>
        <w:rPr>
          <w:rFonts w:cs="Arial" w:ascii="Arial" w:hAnsi="Arial"/>
          <w:sz w:val="22"/>
        </w:rPr>
      </w:r>
    </w:p>
    <w:p>
      <w:pPr>
        <w:pStyle w:val="Normal"/>
        <w:ind w:start="-426" w:end="0"/>
        <w:jc w:val="both"/>
        <w:rPr>
          <w:rFonts w:ascii="Arial" w:hAnsi="Arial" w:cs="Arial"/>
          <w:b/>
        </w:rPr>
      </w:pPr>
      <w:r>
        <w:rPr>
          <w:rFonts w:cs="Arial" w:ascii="Arial" w:hAnsi="Arial"/>
          <w:b/>
        </w:rPr>
        <w:t>REUTERS ON-LINE S.A.. (“Reuters”)</w:t>
        <w:tab/>
        <w:tab/>
        <w:t>DISTRIBUTOR</w:t>
      </w:r>
    </w:p>
    <w:p>
      <w:pPr>
        <w:pStyle w:val="Normal"/>
        <w:tabs>
          <w:tab w:val="clear" w:pos="720"/>
          <w:tab w:val="left" w:pos="567" w:leader="none"/>
          <w:tab w:val="right" w:pos="3402" w:leader="dot"/>
          <w:tab w:val="left" w:pos="4111" w:leader="none"/>
          <w:tab w:val="left" w:pos="5103" w:leader="none"/>
          <w:tab w:val="right" w:pos="8930" w:leader="dot"/>
        </w:tabs>
        <w:spacing w:before="120" w:after="0"/>
        <w:ind w:start="-425" w:end="0"/>
        <w:jc w:val="both"/>
        <w:rPr>
          <w:rFonts w:ascii="Arial" w:hAnsi="Arial" w:cs="Arial"/>
          <w:b/>
        </w:rPr>
      </w:pPr>
      <w:r>
        <w:rPr>
          <w:rFonts w:cs="Arial" w:ascii="Arial" w:hAnsi="Arial"/>
          <w:b/>
        </w:rPr>
      </w:r>
    </w:p>
    <w:p>
      <w:pPr>
        <w:pStyle w:val="Normal"/>
        <w:tabs>
          <w:tab w:val="clear" w:pos="720"/>
          <w:tab w:val="left" w:pos="567" w:leader="none"/>
          <w:tab w:val="right" w:pos="3402" w:leader="dot"/>
          <w:tab w:val="left" w:pos="4111" w:leader="none"/>
          <w:tab w:val="left" w:pos="5103" w:leader="none"/>
          <w:tab w:val="right" w:pos="8930" w:leader="dot"/>
        </w:tabs>
        <w:spacing w:before="120" w:after="0"/>
        <w:ind w:start="-425" w:end="0"/>
        <w:jc w:val="both"/>
        <w:rPr>
          <w:rFonts w:ascii="Arial" w:hAnsi="Arial" w:cs="Arial"/>
          <w:b/>
        </w:rPr>
      </w:pPr>
      <w:r>
        <w:rPr>
          <w:rFonts w:cs="Arial" w:ascii="Arial" w:hAnsi="Arial"/>
          <w:b/>
        </w:rPr>
        <w:t>By:</w:t>
        <w:tab/>
        <w:tab/>
        <w:tab/>
        <w:t>Name:</w:t>
        <w:tab/>
        <w:tab/>
      </w:r>
    </w:p>
    <w:p>
      <w:pPr>
        <w:pStyle w:val="Normal"/>
        <w:tabs>
          <w:tab w:val="clear" w:pos="720"/>
          <w:tab w:val="left" w:pos="567" w:leader="none"/>
          <w:tab w:val="right" w:pos="3402" w:leader="dot"/>
          <w:tab w:val="left" w:pos="4111" w:leader="none"/>
          <w:tab w:val="left" w:pos="5103" w:leader="none"/>
          <w:tab w:val="right" w:pos="8930" w:leader="dot"/>
        </w:tabs>
        <w:spacing w:before="120" w:after="0"/>
        <w:ind w:start="-425" w:end="0"/>
        <w:jc w:val="both"/>
        <w:rPr>
          <w:rFonts w:ascii="Arial" w:hAnsi="Arial" w:cs="Arial"/>
          <w:b/>
        </w:rPr>
      </w:pPr>
      <w:r>
        <w:rPr>
          <w:rFonts w:cs="Arial" w:ascii="Arial" w:hAnsi="Arial"/>
          <w:b/>
        </w:rPr>
      </w:r>
    </w:p>
    <w:p>
      <w:pPr>
        <w:pStyle w:val="Normal"/>
        <w:tabs>
          <w:tab w:val="clear" w:pos="720"/>
          <w:tab w:val="left" w:pos="567" w:leader="none"/>
          <w:tab w:val="right" w:pos="3402" w:leader="dot"/>
          <w:tab w:val="left" w:pos="4111" w:leader="none"/>
          <w:tab w:val="left" w:pos="5103" w:leader="none"/>
          <w:tab w:val="right" w:pos="8930" w:leader="dot"/>
        </w:tabs>
        <w:spacing w:before="120" w:after="0"/>
        <w:ind w:start="-425" w:end="0"/>
        <w:jc w:val="both"/>
        <w:rPr>
          <w:rFonts w:ascii="Arial" w:hAnsi="Arial" w:cs="Arial"/>
          <w:b/>
        </w:rPr>
      </w:pPr>
      <w:r>
        <w:rPr>
          <w:rFonts w:cs="Arial" w:ascii="Arial" w:hAnsi="Arial"/>
          <w:b/>
        </w:rPr>
        <w:t>Name:</w:t>
        <w:tab/>
        <w:tab/>
        <w:tab/>
        <w:t>Name:</w:t>
        <w:tab/>
        <w:tab/>
      </w:r>
    </w:p>
    <w:p>
      <w:pPr>
        <w:pStyle w:val="Normal"/>
        <w:tabs>
          <w:tab w:val="clear" w:pos="720"/>
          <w:tab w:val="left" w:pos="567" w:leader="none"/>
          <w:tab w:val="right" w:pos="3402" w:leader="dot"/>
          <w:tab w:val="left" w:pos="4111" w:leader="none"/>
          <w:tab w:val="left" w:pos="5103" w:leader="none"/>
          <w:tab w:val="right" w:pos="8930" w:leader="dot"/>
        </w:tabs>
        <w:spacing w:before="120" w:after="0"/>
        <w:ind w:start="-425" w:end="0"/>
        <w:jc w:val="both"/>
        <w:rPr>
          <w:rFonts w:ascii="Arial" w:hAnsi="Arial" w:cs="Arial"/>
          <w:b/>
        </w:rPr>
      </w:pPr>
      <w:r>
        <w:rPr>
          <w:rFonts w:cs="Arial" w:ascii="Arial" w:hAnsi="Arial"/>
          <w:b/>
        </w:rPr>
      </w:r>
    </w:p>
    <w:p>
      <w:pPr>
        <w:pStyle w:val="Normal"/>
        <w:tabs>
          <w:tab w:val="clear" w:pos="720"/>
          <w:tab w:val="left" w:pos="567" w:leader="none"/>
          <w:tab w:val="right" w:pos="3402" w:leader="dot"/>
          <w:tab w:val="left" w:pos="4111" w:leader="none"/>
          <w:tab w:val="left" w:pos="5103" w:leader="none"/>
          <w:tab w:val="right" w:pos="8930" w:leader="dot"/>
        </w:tabs>
        <w:spacing w:before="120" w:after="0"/>
        <w:ind w:start="-425" w:end="0"/>
        <w:jc w:val="both"/>
        <w:rPr>
          <w:rFonts w:ascii="Arial" w:hAnsi="Arial" w:cs="Arial"/>
          <w:b/>
        </w:rPr>
      </w:pPr>
      <w:r>
        <w:rPr>
          <w:rFonts w:cs="Arial" w:ascii="Arial" w:hAnsi="Arial"/>
          <w:b/>
        </w:rPr>
        <w:t>Title:</w:t>
        <w:tab/>
        <w:tab/>
        <w:tab/>
        <w:t xml:space="preserve">Title: </w:t>
        <w:tab/>
        <w:tab/>
      </w:r>
    </w:p>
    <w:p>
      <w:pPr>
        <w:pStyle w:val="Normal"/>
        <w:tabs>
          <w:tab w:val="clear" w:pos="720"/>
          <w:tab w:val="left" w:pos="567" w:leader="none"/>
          <w:tab w:val="right" w:pos="3402" w:leader="dot"/>
          <w:tab w:val="left" w:pos="4111" w:leader="none"/>
          <w:tab w:val="left" w:pos="5103" w:leader="none"/>
          <w:tab w:val="right" w:pos="8930" w:leader="dot"/>
        </w:tabs>
        <w:spacing w:before="120" w:after="0"/>
        <w:ind w:start="-425" w:end="0"/>
        <w:jc w:val="both"/>
        <w:rPr>
          <w:rFonts w:ascii="Arial" w:hAnsi="Arial" w:cs="Arial"/>
          <w:b/>
        </w:rPr>
      </w:pPr>
      <w:r>
        <w:rPr>
          <w:rFonts w:cs="Arial" w:ascii="Arial" w:hAnsi="Arial"/>
          <w:b/>
        </w:rPr>
      </w:r>
    </w:p>
    <w:p>
      <w:pPr>
        <w:pStyle w:val="Normal"/>
        <w:tabs>
          <w:tab w:val="clear" w:pos="720"/>
          <w:tab w:val="left" w:pos="567" w:leader="none"/>
          <w:tab w:val="right" w:pos="3402" w:leader="dot"/>
          <w:tab w:val="left" w:pos="4111" w:leader="none"/>
          <w:tab w:val="left" w:pos="5103" w:leader="none"/>
          <w:tab w:val="right" w:pos="8930" w:leader="dot"/>
        </w:tabs>
        <w:spacing w:before="120" w:after="0"/>
        <w:ind w:start="-425" w:end="0"/>
        <w:jc w:val="both"/>
        <w:rPr>
          <w:rFonts w:ascii="Arial" w:hAnsi="Arial" w:cs="Arial"/>
          <w:b/>
        </w:rPr>
      </w:pPr>
      <w:r>
        <w:rPr>
          <w:rFonts w:cs="Arial" w:ascii="Arial" w:hAnsi="Arial"/>
          <w:b/>
        </w:rPr>
        <w:t>Date:</w:t>
        <w:tab/>
        <w:tab/>
        <w:tab/>
        <w:t xml:space="preserve">Date: </w:t>
        <w:tab/>
        <w:tab/>
      </w:r>
    </w:p>
    <w:p>
      <w:pPr>
        <w:pStyle w:val="Normal"/>
        <w:tabs>
          <w:tab w:val="clear" w:pos="720"/>
          <w:tab w:val="left" w:pos="567" w:leader="none"/>
          <w:tab w:val="right" w:pos="4253" w:leader="none"/>
          <w:tab w:val="left" w:pos="4678" w:leader="none"/>
          <w:tab w:val="left" w:pos="5245" w:leader="none"/>
          <w:tab w:val="right" w:pos="8930" w:leader="underscore"/>
        </w:tabs>
        <w:spacing w:before="120" w:after="0"/>
        <w:ind w:firstLine="720" w:start="-425" w:end="0"/>
        <w:rPr>
          <w:rFonts w:ascii="Arial" w:hAnsi="Arial" w:cs="Arial"/>
          <w:b/>
        </w:rPr>
      </w:pPr>
      <w:r>
        <w:rPr>
          <w:rFonts w:cs="Arial" w:ascii="Arial" w:hAnsi="Arial"/>
          <w:b/>
        </w:rPr>
        <w:tab/>
        <w:tab/>
        <w:tab/>
        <w:tab/>
        <w:t>(“Effective Date”)</w:t>
      </w:r>
      <w:r>
        <w:br w:type="page"/>
      </w:r>
    </w:p>
    <w:p>
      <w:pPr>
        <w:pStyle w:val="Subtitle"/>
        <w:rPr>
          <w:rFonts w:ascii="Arial" w:hAnsi="Arial" w:cs="Arial"/>
          <w:b w:val="false"/>
        </w:rPr>
      </w:pPr>
      <w:r>
        <w:rPr>
          <w:rFonts w:cs="Arial" w:ascii="Arial" w:hAnsi="Arial"/>
          <w:b w:val="false"/>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Subtitle"/>
        <w:rPr>
          <w:rFonts w:ascii="Arial" w:hAnsi="Arial" w:cs="Arial"/>
          <w:b w:val="false"/>
        </w:rPr>
      </w:pPr>
      <w:r>
        <w:rPr>
          <w:rFonts w:cs="Arial" w:ascii="Arial" w:hAnsi="Arial"/>
          <w:b w:val="false"/>
        </w:rPr>
      </w:r>
    </w:p>
    <w:p>
      <w:pPr>
        <w:pStyle w:val="Subtitle"/>
        <w:rPr>
          <w:rFonts w:ascii="Arial" w:hAnsi="Arial" w:cs="Arial"/>
          <w:sz w:val="18"/>
        </w:rPr>
      </w:pPr>
      <w:r>
        <w:rPr>
          <w:rFonts w:cs="Arial" w:ascii="Arial" w:hAnsi="Arial"/>
          <w:sz w:val="18"/>
        </w:rPr>
        <w:t>FEE SCHEDULE</w:t>
      </w:r>
    </w:p>
    <w:p>
      <w:pPr>
        <w:pStyle w:val="Normal"/>
        <w:ind w:hanging="709" w:start="709" w:end="0"/>
        <w:jc w:val="both"/>
        <w:rPr>
          <w:rFonts w:ascii="Arial" w:hAnsi="Arial" w:cs="Arial"/>
          <w:sz w:val="18"/>
        </w:rPr>
      </w:pPr>
      <w:r>
        <w:rPr>
          <w:rFonts w:cs="Arial" w:ascii="Arial" w:hAnsi="Arial"/>
          <w:sz w:val="18"/>
        </w:rPr>
      </w:r>
    </w:p>
    <w:p>
      <w:pPr>
        <w:pStyle w:val="Normal"/>
        <w:ind w:hanging="709" w:start="709" w:end="0"/>
        <w:jc w:val="both"/>
        <w:rPr>
          <w:rFonts w:ascii="Arial" w:hAnsi="Arial" w:cs="Arial"/>
          <w:sz w:val="18"/>
        </w:rPr>
      </w:pPr>
      <w:r>
        <w:rPr>
          <w:rFonts w:cs="Arial" w:ascii="Arial" w:hAnsi="Arial"/>
          <w:sz w:val="18"/>
        </w:rPr>
      </w:r>
    </w:p>
    <w:p>
      <w:pPr>
        <w:pStyle w:val="Normal"/>
        <w:numPr>
          <w:ilvl w:val="0"/>
          <w:numId w:val="3"/>
        </w:numPr>
        <w:jc w:val="both"/>
        <w:rPr>
          <w:rFonts w:ascii="Arial" w:hAnsi="Arial" w:cs="Arial"/>
          <w:sz w:val="18"/>
        </w:rPr>
      </w:pPr>
      <w:r>
        <w:rPr>
          <w:rFonts w:cs="Arial" w:ascii="Arial" w:hAnsi="Arial"/>
          <w:b/>
          <w:sz w:val="18"/>
          <w:u w:val="single"/>
        </w:rPr>
        <w:t>Fees.</w:t>
      </w:r>
      <w:r>
        <w:rPr>
          <w:rFonts w:cs="Arial" w:ascii="Arial" w:hAnsi="Arial"/>
          <w:sz w:val="18"/>
        </w:rPr>
        <w:t xml:space="preserve"> Notwithstanding any Start-Up Fees payable by the Distributor to Reuters, Distributor shall pay to Reuters as appropriate to the Reuters Service taken by the Distributor and indicated on the Order Form, the following Fees: </w:t>
      </w:r>
    </w:p>
    <w:p>
      <w:pPr>
        <w:pStyle w:val="Normal"/>
        <w:jc w:val="both"/>
        <w:rPr>
          <w:rFonts w:ascii="Arial" w:hAnsi="Arial" w:cs="Arial"/>
          <w:b/>
          <w:sz w:val="18"/>
          <w:u w:val="single"/>
        </w:rPr>
      </w:pPr>
      <w:r>
        <w:rPr>
          <w:rFonts w:cs="Arial" w:ascii="Arial" w:hAnsi="Arial"/>
          <w:b/>
          <w:sz w:val="18"/>
          <w:u w:val="single"/>
        </w:rPr>
      </w:r>
    </w:p>
    <w:p>
      <w:pPr>
        <w:pStyle w:val="Normal"/>
        <w:ind w:firstLine="426" w:end="0"/>
        <w:jc w:val="both"/>
        <w:rPr>
          <w:rFonts w:ascii="Arial" w:hAnsi="Arial" w:cs="Arial"/>
          <w:sz w:val="18"/>
          <w:u w:val="single"/>
        </w:rPr>
      </w:pPr>
      <w:r>
        <w:rPr>
          <w:rFonts w:cs="Arial" w:ascii="Arial" w:hAnsi="Arial"/>
          <w:sz w:val="18"/>
          <w:u w:val="single"/>
        </w:rPr>
        <w:t>Either:</w:t>
      </w:r>
    </w:p>
    <w:p>
      <w:pPr>
        <w:pStyle w:val="Normal"/>
        <w:ind w:firstLine="426" w:end="0"/>
        <w:jc w:val="both"/>
        <w:rPr>
          <w:rFonts w:ascii="Arial" w:hAnsi="Arial" w:cs="Arial"/>
          <w:sz w:val="18"/>
          <w:u w:val="single"/>
        </w:rPr>
      </w:pPr>
      <w:r>
        <w:rPr>
          <w:rFonts w:cs="Arial" w:ascii="Arial" w:hAnsi="Arial"/>
          <w:sz w:val="18"/>
          <w:u w:val="single"/>
        </w:rPr>
      </w:r>
    </w:p>
    <w:p>
      <w:pPr>
        <w:pStyle w:val="Normal"/>
        <w:numPr>
          <w:ilvl w:val="0"/>
          <w:numId w:val="4"/>
        </w:numPr>
        <w:jc w:val="both"/>
        <w:rPr>
          <w:rFonts w:ascii="Arial" w:hAnsi="Arial" w:cs="Arial"/>
          <w:sz w:val="18"/>
        </w:rPr>
      </w:pPr>
      <w:r>
        <w:rPr>
          <w:rFonts w:cs="Arial" w:ascii="Arial" w:hAnsi="Arial"/>
          <w:sz w:val="18"/>
        </w:rPr>
        <w:t>the Entry Level Fee;</w:t>
      </w:r>
    </w:p>
    <w:p>
      <w:pPr>
        <w:pStyle w:val="Normal"/>
        <w:ind w:start="705" w:end="0"/>
        <w:jc w:val="both"/>
        <w:rPr>
          <w:rFonts w:ascii="Arial" w:hAnsi="Arial" w:cs="Arial"/>
          <w:sz w:val="18"/>
        </w:rPr>
      </w:pPr>
      <w:r>
        <w:rPr>
          <w:rFonts w:cs="Arial" w:ascii="Arial" w:hAnsi="Arial"/>
          <w:sz w:val="18"/>
        </w:rPr>
      </w:r>
    </w:p>
    <w:p>
      <w:pPr>
        <w:pStyle w:val="Normal"/>
        <w:ind w:hanging="279" w:start="705" w:end="0"/>
        <w:jc w:val="both"/>
        <w:rPr>
          <w:rFonts w:ascii="Arial" w:hAnsi="Arial" w:cs="Arial"/>
          <w:sz w:val="18"/>
          <w:u w:val="single"/>
        </w:rPr>
      </w:pPr>
      <w:r>
        <w:rPr>
          <w:rFonts w:cs="Arial" w:ascii="Arial" w:hAnsi="Arial"/>
          <w:sz w:val="18"/>
          <w:u w:val="single"/>
        </w:rPr>
        <w:t>Or:</w:t>
      </w:r>
    </w:p>
    <w:p>
      <w:pPr>
        <w:pStyle w:val="Normal"/>
        <w:ind w:hanging="279" w:start="705" w:end="0"/>
        <w:jc w:val="both"/>
        <w:rPr>
          <w:rFonts w:ascii="Arial" w:hAnsi="Arial" w:cs="Arial"/>
          <w:sz w:val="18"/>
          <w:u w:val="single"/>
        </w:rPr>
      </w:pPr>
      <w:r>
        <w:rPr>
          <w:rFonts w:cs="Arial" w:ascii="Arial" w:hAnsi="Arial"/>
          <w:sz w:val="18"/>
          <w:u w:val="single"/>
        </w:rPr>
      </w:r>
    </w:p>
    <w:p>
      <w:pPr>
        <w:pStyle w:val="Normal"/>
        <w:numPr>
          <w:ilvl w:val="0"/>
          <w:numId w:val="2"/>
        </w:numPr>
        <w:jc w:val="both"/>
        <w:rPr>
          <w:rFonts w:ascii="Arial" w:hAnsi="Arial" w:cs="Arial"/>
          <w:sz w:val="18"/>
        </w:rPr>
      </w:pPr>
      <w:r>
        <w:rPr>
          <w:rFonts w:cs="Arial" w:ascii="Arial" w:hAnsi="Arial"/>
          <w:sz w:val="18"/>
        </w:rPr>
        <w:t xml:space="preserve">the Service Fee;   </w:t>
      </w:r>
    </w:p>
    <w:p>
      <w:pPr>
        <w:pStyle w:val="Normal"/>
        <w:numPr>
          <w:ilvl w:val="0"/>
          <w:numId w:val="2"/>
        </w:numPr>
        <w:jc w:val="both"/>
        <w:rPr>
          <w:rFonts w:ascii="Arial" w:hAnsi="Arial" w:cs="Arial"/>
          <w:sz w:val="18"/>
        </w:rPr>
      </w:pPr>
      <w:r>
        <w:rPr>
          <w:rFonts w:cs="Arial" w:ascii="Arial" w:hAnsi="Arial"/>
          <w:sz w:val="18"/>
        </w:rPr>
        <w:t xml:space="preserve">the CPM Fee (if applicable); </w:t>
      </w:r>
    </w:p>
    <w:p>
      <w:pPr>
        <w:pStyle w:val="Normal"/>
        <w:numPr>
          <w:ilvl w:val="0"/>
          <w:numId w:val="2"/>
        </w:numPr>
        <w:jc w:val="both"/>
        <w:rPr>
          <w:rFonts w:ascii="Arial" w:hAnsi="Arial" w:cs="Arial"/>
          <w:sz w:val="18"/>
        </w:rPr>
      </w:pPr>
      <w:r>
        <w:rPr>
          <w:rFonts w:cs="Arial" w:ascii="Arial" w:hAnsi="Arial"/>
          <w:sz w:val="18"/>
        </w:rPr>
        <w:t>the User Fee (if applicable); and</w:t>
      </w:r>
    </w:p>
    <w:p>
      <w:pPr>
        <w:pStyle w:val="Normal"/>
        <w:numPr>
          <w:ilvl w:val="0"/>
          <w:numId w:val="2"/>
        </w:numPr>
        <w:jc w:val="both"/>
        <w:rPr>
          <w:rFonts w:ascii="Arial" w:hAnsi="Arial" w:cs="Arial"/>
          <w:sz w:val="18"/>
        </w:rPr>
      </w:pPr>
      <w:r>
        <w:rPr>
          <w:rFonts w:cs="Arial" w:ascii="Arial" w:hAnsi="Arial"/>
          <w:sz w:val="18"/>
        </w:rPr>
        <w:t xml:space="preserve">Additional Fees (if applicable); </w:t>
      </w:r>
    </w:p>
    <w:p>
      <w:pPr>
        <w:pStyle w:val="Normal"/>
        <w:ind w:start="705" w:end="0"/>
        <w:jc w:val="both"/>
        <w:rPr>
          <w:rFonts w:ascii="Arial" w:hAnsi="Arial" w:cs="Arial"/>
          <w:sz w:val="18"/>
        </w:rPr>
      </w:pPr>
      <w:r>
        <w:rPr>
          <w:rFonts w:cs="Arial" w:ascii="Arial" w:hAnsi="Arial"/>
          <w:sz w:val="18"/>
        </w:rPr>
      </w:r>
    </w:p>
    <w:p>
      <w:pPr>
        <w:pStyle w:val="BodyTextIndent"/>
        <w:ind w:start="0" w:end="0"/>
        <w:jc w:val="both"/>
        <w:rPr/>
      </w:pPr>
      <w:r>
        <w:rPr>
          <w:b/>
          <w:sz w:val="18"/>
        </w:rPr>
        <w:t>“</w:t>
      </w:r>
      <w:r>
        <w:rPr>
          <w:b/>
          <w:sz w:val="18"/>
        </w:rPr>
        <w:t xml:space="preserve">Additional Fees” </w:t>
      </w:r>
      <w:r>
        <w:rPr>
          <w:sz w:val="18"/>
        </w:rPr>
        <w:t>means the fees the Distributor shall pay to Reuters for the inclusion of additional Reuters Content in the Reuters Service, and will be as set out in the Order Form.</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w:t>
      </w:r>
      <w:r>
        <w:rPr>
          <w:rFonts w:cs="Arial" w:ascii="Arial" w:hAnsi="Arial"/>
          <w:b/>
          <w:sz w:val="18"/>
        </w:rPr>
        <w:t>Page View”</w:t>
      </w:r>
      <w:r>
        <w:rPr>
          <w:rFonts w:cs="Arial" w:ascii="Arial" w:hAnsi="Arial"/>
          <w:sz w:val="18"/>
        </w:rPr>
        <w:t xml:space="preserve"> means every single request from a subscriber to retrieve the Reuters Service, as appropriate, (i) a collection of News Headlines (e.g. GLANCE-G): (ii) a full News story or a market report (e.g. N&lt;fa&gt;): (iii) a full Quote (whether Delayed or Real-time)(e.g. RTR.L): (iv) a Quote Chain (whether Delayed or Real-time) (index/industry constituents) (e.g. FTSE&lt;F3&gt;): (v) a RIC Search or a Time Series (Charts).</w:t>
      </w:r>
    </w:p>
    <w:p>
      <w:pPr>
        <w:pStyle w:val="Normal"/>
        <w:ind w:start="709" w:end="0"/>
        <w:jc w:val="both"/>
        <w:rPr>
          <w:rFonts w:ascii="Arial" w:hAnsi="Arial" w:cs="Arial"/>
          <w:sz w:val="18"/>
        </w:rPr>
      </w:pPr>
      <w:r>
        <w:rPr>
          <w:rFonts w:cs="Arial" w:ascii="Arial" w:hAnsi="Arial"/>
          <w:sz w:val="18"/>
        </w:rPr>
      </w:r>
    </w:p>
    <w:p>
      <w:pPr>
        <w:pStyle w:val="Normal"/>
        <w:jc w:val="both"/>
        <w:rPr/>
      </w:pPr>
      <w:r>
        <w:rPr>
          <w:rFonts w:cs="Arial" w:ascii="Arial" w:hAnsi="Arial"/>
          <w:b/>
          <w:sz w:val="18"/>
        </w:rPr>
        <w:t>“</w:t>
      </w:r>
      <w:r>
        <w:rPr>
          <w:rFonts w:cs="Arial" w:ascii="Arial" w:hAnsi="Arial"/>
          <w:b/>
          <w:sz w:val="18"/>
        </w:rPr>
        <w:t>Reuters Qualifying Page”</w:t>
      </w:r>
      <w:r>
        <w:rPr>
          <w:rFonts w:cs="Arial" w:ascii="Arial" w:hAnsi="Arial"/>
          <w:sz w:val="18"/>
        </w:rPr>
        <w:t xml:space="preserve"> means any page that contains any Reuters Content, as that term is defined in the Terms and Conditions, except a page whose only Reuters Content is up to three (3) headlines per Reuters Service, unless such headlines are the only substantive content on the page.</w:t>
      </w:r>
    </w:p>
    <w:p>
      <w:pPr>
        <w:pStyle w:val="Normal"/>
        <w:ind w:start="709" w:end="0"/>
        <w:jc w:val="both"/>
        <w:rPr>
          <w:rFonts w:ascii="Arial" w:hAnsi="Arial" w:cs="Arial"/>
          <w:sz w:val="18"/>
        </w:rPr>
      </w:pPr>
      <w:r>
        <w:rPr>
          <w:rFonts w:cs="Arial" w:ascii="Arial" w:hAnsi="Arial"/>
          <w:sz w:val="18"/>
        </w:rPr>
      </w:r>
    </w:p>
    <w:p>
      <w:pPr>
        <w:pStyle w:val="Normal"/>
        <w:jc w:val="both"/>
        <w:rPr/>
      </w:pPr>
      <w:r>
        <w:rPr>
          <w:rFonts w:cs="Arial" w:ascii="Arial" w:hAnsi="Arial"/>
          <w:b/>
          <w:sz w:val="18"/>
        </w:rPr>
        <w:t>“</w:t>
      </w:r>
      <w:r>
        <w:rPr>
          <w:rFonts w:cs="Arial" w:ascii="Arial" w:hAnsi="Arial"/>
          <w:b/>
          <w:sz w:val="18"/>
        </w:rPr>
        <w:t xml:space="preserve">CPM” </w:t>
      </w:r>
      <w:r>
        <w:rPr>
          <w:rFonts w:cs="Arial" w:ascii="Arial" w:hAnsi="Arial"/>
          <w:sz w:val="18"/>
        </w:rPr>
        <w:t>means cost (in US$) per thousand (1000) Page Views of any Reuters Qualifying Page.</w:t>
      </w:r>
    </w:p>
    <w:p>
      <w:pPr>
        <w:pStyle w:val="Normal"/>
        <w:ind w:hanging="709" w:start="709" w:end="0"/>
        <w:jc w:val="both"/>
        <w:rPr>
          <w:rFonts w:ascii="Arial" w:hAnsi="Arial" w:cs="Arial"/>
          <w:sz w:val="18"/>
        </w:rPr>
      </w:pPr>
      <w:r>
        <w:rPr>
          <w:rFonts w:cs="Arial" w:ascii="Arial" w:hAnsi="Arial"/>
          <w:sz w:val="18"/>
        </w:rPr>
      </w:r>
    </w:p>
    <w:p>
      <w:pPr>
        <w:pStyle w:val="Normal"/>
        <w:jc w:val="both"/>
        <w:rPr/>
      </w:pPr>
      <w:r>
        <w:rPr>
          <w:rFonts w:cs="Arial" w:ascii="Arial" w:hAnsi="Arial"/>
          <w:b/>
          <w:sz w:val="18"/>
        </w:rPr>
        <w:t>“</w:t>
      </w:r>
      <w:r>
        <w:rPr>
          <w:rFonts w:cs="Arial" w:ascii="Arial" w:hAnsi="Arial"/>
          <w:b/>
          <w:sz w:val="18"/>
        </w:rPr>
        <w:t>Entry Level Fee”</w:t>
      </w:r>
      <w:r>
        <w:rPr>
          <w:rFonts w:cs="Arial" w:ascii="Arial" w:hAnsi="Arial"/>
          <w:sz w:val="18"/>
        </w:rPr>
        <w:t xml:space="preserve"> means the fee the Distributor shall pay to Reuters each month calculated on the basis of either (a) the number of Page Views of any Reuters Qualifying Page during the prior month (charged at the CPM rate specified in the Order Form) or (b) the minimum fee (as specified in the Order Form), whichever is the greater. [US News shall not be made available to the Distributor as part of any Reuters Content, unless the Entry Level Fee per month is an amount  equal to or greater than the level specified in the Order Form].</w:t>
      </w:r>
    </w:p>
    <w:p>
      <w:pPr>
        <w:pStyle w:val="Normal"/>
        <w:ind w:hanging="709" w:start="709" w:end="0"/>
        <w:jc w:val="both"/>
        <w:rPr>
          <w:rFonts w:ascii="Arial" w:hAnsi="Arial" w:cs="Arial"/>
          <w:sz w:val="18"/>
        </w:rPr>
      </w:pPr>
      <w:r>
        <w:rPr>
          <w:rFonts w:cs="Arial" w:ascii="Arial" w:hAnsi="Arial"/>
          <w:sz w:val="18"/>
        </w:rPr>
      </w:r>
    </w:p>
    <w:p>
      <w:pPr>
        <w:pStyle w:val="Normal"/>
        <w:jc w:val="both"/>
        <w:rPr/>
      </w:pPr>
      <w:r>
        <w:rPr>
          <w:rFonts w:cs="Arial" w:ascii="Arial" w:hAnsi="Arial"/>
          <w:b/>
          <w:sz w:val="18"/>
        </w:rPr>
        <w:t>“</w:t>
      </w:r>
      <w:r>
        <w:rPr>
          <w:rFonts w:cs="Arial" w:ascii="Arial" w:hAnsi="Arial"/>
          <w:b/>
          <w:sz w:val="18"/>
        </w:rPr>
        <w:t xml:space="preserve">CPM Fee” </w:t>
      </w:r>
      <w:r>
        <w:rPr>
          <w:rFonts w:cs="Arial" w:ascii="Arial" w:hAnsi="Arial"/>
          <w:sz w:val="18"/>
        </w:rPr>
        <w:t xml:space="preserve">means the fee, in addition to the Service Fee, that the Distributor shall pay to Reuters (unless Distributor’s Internet Service is available solely to a closed user group and paid for on a per User basis), and includes, as appropriate, the following fees: </w:t>
      </w:r>
    </w:p>
    <w:p>
      <w:pPr>
        <w:pStyle w:val="Normal"/>
        <w:jc w:val="both"/>
        <w:rPr>
          <w:rFonts w:ascii="Arial" w:hAnsi="Arial" w:cs="Arial"/>
          <w:sz w:val="18"/>
        </w:rPr>
      </w:pPr>
      <w:r>
        <w:rPr>
          <w:rFonts w:cs="Arial" w:ascii="Arial" w:hAnsi="Arial"/>
          <w:sz w:val="18"/>
        </w:rPr>
      </w:r>
    </w:p>
    <w:p>
      <w:pPr>
        <w:pStyle w:val="Normal"/>
        <w:numPr>
          <w:ilvl w:val="0"/>
          <w:numId w:val="5"/>
        </w:numPr>
        <w:jc w:val="both"/>
        <w:rPr>
          <w:rFonts w:ascii="Arial" w:hAnsi="Arial" w:cs="Arial"/>
          <w:sz w:val="18"/>
        </w:rPr>
      </w:pPr>
      <w:r>
        <w:rPr>
          <w:rFonts w:cs="Arial" w:ascii="Arial" w:hAnsi="Arial"/>
          <w:sz w:val="18"/>
        </w:rPr>
        <w:t>Delayed Quotes distribution fee: if the Distributor is taking Delayed Quotes through the RI Market Data API, Page Views will be charged at the CPM  rate specified in the Order Form. For the avoidance of doubt, Distributor shall only pay Reuters any CPM Fee for receiving Delayed Quotes through the RI Market Data API;</w:t>
      </w:r>
    </w:p>
    <w:p>
      <w:pPr>
        <w:pStyle w:val="Normal"/>
        <w:numPr>
          <w:ilvl w:val="0"/>
          <w:numId w:val="5"/>
        </w:numPr>
        <w:jc w:val="both"/>
        <w:rPr>
          <w:rFonts w:ascii="Arial" w:hAnsi="Arial" w:cs="Arial"/>
          <w:sz w:val="18"/>
        </w:rPr>
      </w:pPr>
      <w:r>
        <w:rPr>
          <w:rFonts w:cs="Arial" w:ascii="Arial" w:hAnsi="Arial"/>
          <w:sz w:val="18"/>
        </w:rPr>
        <w:t>News distribution fee: if the Distributor is taking News in the Reuters Service, Page Views shall be charged at the rate specified in the Order Form;</w:t>
      </w:r>
    </w:p>
    <w:p>
      <w:pPr>
        <w:pStyle w:val="Normal"/>
        <w:numPr>
          <w:ilvl w:val="0"/>
          <w:numId w:val="5"/>
        </w:numPr>
        <w:jc w:val="both"/>
        <w:rPr>
          <w:rFonts w:ascii="Arial" w:hAnsi="Arial" w:cs="Arial"/>
          <w:sz w:val="18"/>
        </w:rPr>
      </w:pPr>
      <w:r>
        <w:rPr>
          <w:rFonts w:cs="Arial" w:ascii="Arial" w:hAnsi="Arial"/>
          <w:sz w:val="18"/>
        </w:rPr>
        <w:t>Real-time Quotes distribution fee: if the Distributor is taking Real-time Quotes in the Reuters Service, Page Views shall be charged at the rate specified in the Order Form.</w:t>
      </w:r>
    </w:p>
    <w:p>
      <w:pPr>
        <w:pStyle w:val="Normal"/>
        <w:ind w:start="709" w:end="0"/>
        <w:jc w:val="both"/>
        <w:rPr>
          <w:rFonts w:ascii="Arial" w:hAnsi="Arial" w:cs="Arial"/>
          <w:sz w:val="18"/>
        </w:rPr>
      </w:pPr>
      <w:r>
        <w:rPr>
          <w:rFonts w:cs="Arial" w:ascii="Arial" w:hAnsi="Arial"/>
          <w:sz w:val="18"/>
        </w:rPr>
      </w:r>
    </w:p>
    <w:p>
      <w:pPr>
        <w:pStyle w:val="Normal"/>
        <w:jc w:val="both"/>
        <w:rPr/>
      </w:pPr>
      <w:r>
        <w:rPr>
          <w:rFonts w:cs="Arial" w:ascii="Arial" w:hAnsi="Arial"/>
          <w:b/>
          <w:sz w:val="18"/>
        </w:rPr>
        <w:t>“</w:t>
      </w:r>
      <w:r>
        <w:rPr>
          <w:rFonts w:cs="Arial" w:ascii="Arial" w:hAnsi="Arial"/>
          <w:b/>
          <w:sz w:val="18"/>
        </w:rPr>
        <w:t>Users”</w:t>
      </w:r>
      <w:r>
        <w:rPr>
          <w:rFonts w:cs="Arial" w:ascii="Arial" w:hAnsi="Arial"/>
          <w:sz w:val="18"/>
        </w:rPr>
        <w:t xml:space="preserve"> means each individual Subscriber who accesses the Reuters Content via the Distributor’s Internet Service.</w:t>
      </w:r>
    </w:p>
    <w:p>
      <w:pPr>
        <w:pStyle w:val="Normal"/>
        <w:ind w:start="709" w:end="0"/>
        <w:jc w:val="both"/>
        <w:rPr>
          <w:rFonts w:ascii="Arial" w:hAnsi="Arial" w:cs="Arial"/>
          <w:sz w:val="18"/>
        </w:rPr>
      </w:pPr>
      <w:r>
        <w:rPr>
          <w:rFonts w:cs="Arial" w:ascii="Arial" w:hAnsi="Arial"/>
          <w:sz w:val="18"/>
        </w:rPr>
      </w:r>
    </w:p>
    <w:p>
      <w:pPr>
        <w:pStyle w:val="Normal"/>
        <w:jc w:val="both"/>
        <w:rPr/>
      </w:pPr>
      <w:r>
        <w:rPr>
          <w:rFonts w:cs="Arial" w:ascii="Arial" w:hAnsi="Arial"/>
          <w:b/>
          <w:sz w:val="18"/>
        </w:rPr>
        <w:t>“</w:t>
      </w:r>
      <w:r>
        <w:rPr>
          <w:rFonts w:cs="Arial" w:ascii="Arial" w:hAnsi="Arial"/>
          <w:b/>
          <w:sz w:val="18"/>
        </w:rPr>
        <w:t>User Fee”</w:t>
      </w:r>
      <w:r>
        <w:rPr>
          <w:rFonts w:cs="Arial" w:ascii="Arial" w:hAnsi="Arial"/>
          <w:sz w:val="18"/>
        </w:rPr>
        <w:t xml:space="preserve"> means the fee the Distributor shall pay to Reuters calculated on the basis of the number of Users per month as specified in the Order Form.</w:t>
      </w:r>
    </w:p>
    <w:p>
      <w:pPr>
        <w:pStyle w:val="Normal"/>
        <w:jc w:val="both"/>
        <w:rPr>
          <w:rFonts w:ascii="Arial" w:hAnsi="Arial" w:cs="Arial"/>
          <w:sz w:val="18"/>
        </w:rPr>
      </w:pPr>
      <w:r>
        <w:rPr>
          <w:rFonts w:cs="Arial" w:ascii="Arial" w:hAnsi="Arial"/>
          <w:sz w:val="18"/>
        </w:rPr>
      </w:r>
    </w:p>
    <w:p>
      <w:pPr>
        <w:pStyle w:val="BodyTextIndent"/>
        <w:ind w:start="0" w:end="0"/>
        <w:jc w:val="both"/>
        <w:rPr/>
      </w:pPr>
      <w:r>
        <w:rPr>
          <w:b/>
          <w:sz w:val="18"/>
        </w:rPr>
        <w:t>“</w:t>
      </w:r>
      <w:r>
        <w:rPr>
          <w:b/>
          <w:sz w:val="18"/>
        </w:rPr>
        <w:t xml:space="preserve">Additional Fees” </w:t>
      </w:r>
      <w:r>
        <w:rPr>
          <w:sz w:val="18"/>
        </w:rPr>
        <w:t>means the fees the Distributor shall pay to Reuters for the inclusion of additional Reuters Content in the Reuters Service, and will be as set out in the Order Form.</w:t>
      </w:r>
    </w:p>
    <w:p>
      <w:pPr>
        <w:pStyle w:val="BodyTextIndent"/>
        <w:ind w:start="0" w:end="0"/>
        <w:rPr>
          <w:sz w:val="18"/>
        </w:rPr>
      </w:pPr>
      <w:r>
        <w:rPr>
          <w:sz w:val="18"/>
        </w:rPr>
      </w:r>
    </w:p>
    <w:p>
      <w:pPr>
        <w:pStyle w:val="Normal"/>
        <w:ind w:start="-426" w:end="-427"/>
        <w:jc w:val="both"/>
        <w:rPr>
          <w:rFonts w:ascii="Arial" w:hAnsi="Arial" w:cs="Arial"/>
          <w:b/>
          <w:sz w:val="18"/>
        </w:rPr>
      </w:pPr>
      <w:r>
        <w:rPr>
          <w:rFonts w:cs="Arial" w:ascii="Arial" w:hAnsi="Arial"/>
          <w:b/>
          <w:sz w:val="18"/>
        </w:rPr>
      </w:r>
    </w:p>
    <w:p>
      <w:pPr>
        <w:pStyle w:val="Normal"/>
        <w:ind w:start="-426" w:end="-427"/>
        <w:jc w:val="both"/>
        <w:rPr/>
      </w:pPr>
      <w:r>
        <w:rPr>
          <w:rFonts w:cs="Arial" w:ascii="Arial" w:hAnsi="Arial"/>
          <w:b/>
          <w:sz w:val="18"/>
        </w:rPr>
        <w:t xml:space="preserve">2. </w:t>
      </w:r>
      <w:r>
        <w:rPr>
          <w:rFonts w:cs="Arial" w:ascii="Arial" w:hAnsi="Arial"/>
          <w:b/>
          <w:sz w:val="18"/>
          <w:u w:val="single"/>
        </w:rPr>
        <w:t>Reporting.</w:t>
      </w:r>
      <w:r>
        <w:rPr>
          <w:rFonts w:cs="Arial" w:ascii="Arial" w:hAnsi="Arial"/>
          <w:sz w:val="18"/>
        </w:rPr>
        <w:t xml:space="preserve"> As indicated on the Order Form, where the Distributor is making the Reuters Content available as part of the Distributor’s Internet Service:</w:t>
      </w:r>
    </w:p>
    <w:p>
      <w:pPr>
        <w:pStyle w:val="Normal"/>
        <w:ind w:start="-426" w:end="-427"/>
        <w:jc w:val="both"/>
        <w:rPr>
          <w:rFonts w:ascii="Arial" w:hAnsi="Arial" w:cs="Arial"/>
          <w:b/>
          <w:sz w:val="18"/>
        </w:rPr>
      </w:pPr>
      <w:r>
        <w:rPr>
          <w:rFonts w:cs="Arial" w:ascii="Arial" w:hAnsi="Arial"/>
          <w:b/>
          <w:sz w:val="18"/>
        </w:rPr>
      </w:r>
    </w:p>
    <w:p>
      <w:pPr>
        <w:pStyle w:val="Normal"/>
        <w:numPr>
          <w:ilvl w:val="0"/>
          <w:numId w:val="6"/>
        </w:numPr>
        <w:ind w:hanging="720" w:start="294" w:end="-427"/>
        <w:jc w:val="both"/>
        <w:rPr>
          <w:rFonts w:ascii="Arial" w:hAnsi="Arial" w:cs="Arial"/>
          <w:sz w:val="18"/>
        </w:rPr>
      </w:pPr>
      <w:r>
        <w:rPr>
          <w:rFonts w:cs="Arial" w:ascii="Arial" w:hAnsi="Arial"/>
          <w:sz w:val="18"/>
        </w:rPr>
        <w:t>solely to a closed user group, the Distributor will report to Reuters within 5 working days after the 1</w:t>
      </w:r>
      <w:r>
        <w:rPr>
          <w:rFonts w:cs="Arial" w:ascii="Arial" w:hAnsi="Arial"/>
          <w:sz w:val="18"/>
          <w:vertAlign w:val="superscript"/>
        </w:rPr>
        <w:t>st</w:t>
      </w:r>
      <w:r>
        <w:rPr>
          <w:rFonts w:cs="Arial" w:ascii="Arial" w:hAnsi="Arial"/>
          <w:sz w:val="18"/>
        </w:rPr>
        <w:t xml:space="preserve"> day of each month with EITHER the aggregate number of Users to the Distributor’s Internet Service OR with the number of Page Views retrieved by Users the previous month, and specifically, unless the Distributor has elected to pay Reuters on the basis of the Entry Level Fee, provide a breakdown of, as appropriate, the number of Delayed Quotes Page Views, News Page Views and Real-time Quotes Page Views; or </w:t>
      </w:r>
    </w:p>
    <w:p>
      <w:pPr>
        <w:pStyle w:val="Normal"/>
        <w:numPr>
          <w:ilvl w:val="0"/>
          <w:numId w:val="6"/>
        </w:numPr>
        <w:ind w:hanging="720" w:start="294" w:end="-427"/>
        <w:jc w:val="both"/>
        <w:rPr>
          <w:rFonts w:ascii="Arial" w:hAnsi="Arial" w:cs="Arial"/>
          <w:sz w:val="18"/>
        </w:rPr>
      </w:pPr>
      <w:r>
        <w:rPr>
          <w:rFonts w:cs="Arial" w:ascii="Arial" w:hAnsi="Arial"/>
          <w:sz w:val="18"/>
        </w:rPr>
        <w:t>solely to a public site, the Distributor will report to Reuters within 5 working days after the 1</w:t>
      </w:r>
      <w:r>
        <w:rPr>
          <w:rFonts w:cs="Arial" w:ascii="Arial" w:hAnsi="Arial"/>
          <w:sz w:val="18"/>
          <w:vertAlign w:val="superscript"/>
        </w:rPr>
        <w:t>st</w:t>
      </w:r>
      <w:r>
        <w:rPr>
          <w:rFonts w:cs="Arial" w:ascii="Arial" w:hAnsi="Arial"/>
          <w:sz w:val="18"/>
        </w:rPr>
        <w:t xml:space="preserve"> day of each month with the number of Page Views retrieved by Users the previous month, and specifically, unless the Distributor has elected to pay Reuters on the basis of the Entry Level Fee, provide a breakdown as appropriate, of the number of Delayed Quotes Page Views, News Page Views and Real-time Quotes Page Views; or</w:t>
      </w:r>
    </w:p>
    <w:p>
      <w:pPr>
        <w:pStyle w:val="Normal"/>
        <w:numPr>
          <w:ilvl w:val="0"/>
          <w:numId w:val="6"/>
        </w:numPr>
        <w:ind w:hanging="720" w:start="294" w:end="-427"/>
        <w:jc w:val="both"/>
        <w:rPr>
          <w:rFonts w:ascii="Arial" w:hAnsi="Arial" w:cs="Arial"/>
          <w:sz w:val="18"/>
        </w:rPr>
      </w:pPr>
      <w:r>
        <w:rPr>
          <w:rFonts w:cs="Arial" w:ascii="Arial" w:hAnsi="Arial"/>
          <w:sz w:val="18"/>
        </w:rPr>
        <w:t>to a closed user group and a public site, the Distributor will report to Reuters within 5 working days after the 1</w:t>
      </w:r>
      <w:r>
        <w:rPr>
          <w:rFonts w:cs="Arial" w:ascii="Arial" w:hAnsi="Arial"/>
          <w:sz w:val="18"/>
          <w:vertAlign w:val="superscript"/>
        </w:rPr>
        <w:t>st</w:t>
      </w:r>
      <w:r>
        <w:rPr>
          <w:rFonts w:cs="Arial" w:ascii="Arial" w:hAnsi="Arial"/>
          <w:sz w:val="18"/>
        </w:rPr>
        <w:t xml:space="preserve"> day of each month with all reports specified in (i) and (ii) above.</w:t>
      </w:r>
    </w:p>
    <w:p>
      <w:pPr>
        <w:pStyle w:val="Normal"/>
        <w:ind w:start="-426" w:end="-427"/>
        <w:jc w:val="both"/>
        <w:rPr>
          <w:rFonts w:ascii="Arial" w:hAnsi="Arial" w:cs="Arial"/>
          <w:sz w:val="18"/>
        </w:rPr>
      </w:pPr>
      <w:r>
        <w:rPr>
          <w:rFonts w:cs="Arial" w:ascii="Arial" w:hAnsi="Arial"/>
          <w:sz w:val="18"/>
        </w:rPr>
      </w:r>
    </w:p>
    <w:p>
      <w:pPr>
        <w:pStyle w:val="Normal"/>
        <w:ind w:start="-426" w:end="-427"/>
        <w:jc w:val="both"/>
        <w:rPr/>
      </w:pPr>
      <w:r>
        <w:rPr>
          <w:rFonts w:cs="Arial" w:ascii="Arial" w:hAnsi="Arial"/>
          <w:sz w:val="18"/>
        </w:rPr>
        <w:t xml:space="preserve">Such reports will be sent by e-mail to </w:t>
      </w:r>
      <w:r>
        <w:rPr>
          <w:rStyle w:val="Hyperlink"/>
          <w:rFonts w:cs="Arial" w:ascii="Arial" w:hAnsi="Arial"/>
          <w:sz w:val="18"/>
        </w:rPr>
        <w:t>reuters_online.admin@reuters.com</w:t>
      </w:r>
      <w:r>
        <w:rPr>
          <w:rFonts w:cs="Arial" w:ascii="Arial" w:hAnsi="Arial"/>
          <w:sz w:val="18"/>
        </w:rPr>
        <w:t>.  The Distributor must supply proof to Reuters that administration systems are in place to count the Page Views and Users, as appropriate.  The Distributor’s administration system must have an audit trail and data needs to be stored for a minimum period of three months.</w:t>
      </w:r>
    </w:p>
    <w:p>
      <w:pPr>
        <w:pStyle w:val="Normal"/>
        <w:ind w:start="-426" w:end="-427"/>
        <w:jc w:val="both"/>
        <w:rPr>
          <w:rFonts w:ascii="Arial" w:hAnsi="Arial" w:cs="Arial"/>
          <w:sz w:val="18"/>
        </w:rPr>
      </w:pPr>
      <w:r>
        <w:rPr>
          <w:rFonts w:cs="Arial" w:ascii="Arial" w:hAnsi="Arial"/>
          <w:sz w:val="18"/>
        </w:rPr>
      </w:r>
    </w:p>
    <w:p>
      <w:pPr>
        <w:pStyle w:val="Normal"/>
        <w:ind w:start="-426" w:end="-427"/>
        <w:jc w:val="both"/>
        <w:rPr>
          <w:rFonts w:ascii="Arial" w:hAnsi="Arial" w:cs="Arial"/>
          <w:sz w:val="18"/>
        </w:rPr>
      </w:pPr>
      <w:r>
        <w:rPr>
          <w:rFonts w:cs="Arial" w:ascii="Arial" w:hAnsi="Arial"/>
          <w:sz w:val="18"/>
        </w:rPr>
        <w:t>If the Reuters Service is delivered via the RI Market Data API and Distributor does not cache any Content on its Site (see Sec.10.7) Distributor, rather than submitting a Page View declaration report, must declare each month in such report that it has not Cached any Content.  In such circumstances Reuters will report on the first working day of each month to Distributor the number of Page Views retrieved by the Distributor from the RI Market Data API. This shall not affect any report required listing the number of Page Views.</w:t>
      </w:r>
    </w:p>
    <w:p>
      <w:pPr>
        <w:pStyle w:val="Normal"/>
        <w:ind w:start="-426" w:end="-427"/>
        <w:jc w:val="both"/>
        <w:rPr>
          <w:rFonts w:ascii="Arial" w:hAnsi="Arial" w:cs="Arial"/>
          <w:sz w:val="18"/>
        </w:rPr>
      </w:pPr>
      <w:r>
        <w:rPr>
          <w:rFonts w:cs="Arial" w:ascii="Arial" w:hAnsi="Arial"/>
          <w:sz w:val="18"/>
        </w:rPr>
      </w:r>
    </w:p>
    <w:p>
      <w:pPr>
        <w:pStyle w:val="Normal"/>
        <w:ind w:start="-426" w:end="-427"/>
        <w:jc w:val="both"/>
        <w:rPr>
          <w:rFonts w:ascii="Arial" w:hAnsi="Arial" w:cs="Arial"/>
          <w:sz w:val="18"/>
        </w:rPr>
      </w:pPr>
      <w:r>
        <w:rPr>
          <w:rFonts w:cs="Arial" w:ascii="Arial" w:hAnsi="Arial"/>
          <w:sz w:val="18"/>
        </w:rPr>
        <w:t>Reuters will invoice the Distributor quarterly in arrears on the basis of the reported Page Views or Users declaration, or Reuters report as appropriate.</w:t>
      </w:r>
    </w:p>
    <w:p>
      <w:pPr>
        <w:pStyle w:val="Normal"/>
        <w:ind w:start="-426" w:end="-427"/>
        <w:jc w:val="both"/>
        <w:rPr>
          <w:rFonts w:ascii="Arial" w:hAnsi="Arial" w:cs="Arial"/>
          <w:sz w:val="18"/>
        </w:rPr>
      </w:pPr>
      <w:r>
        <w:rPr>
          <w:rFonts w:cs="Arial" w:ascii="Arial" w:hAnsi="Arial"/>
          <w:sz w:val="18"/>
        </w:rPr>
      </w:r>
    </w:p>
    <w:p>
      <w:pPr>
        <w:pStyle w:val="Normal"/>
        <w:ind w:start="-426" w:end="-427"/>
        <w:jc w:val="both"/>
        <w:rPr>
          <w:rFonts w:ascii="Arial" w:hAnsi="Arial" w:cs="Arial"/>
          <w:sz w:val="18"/>
        </w:rPr>
      </w:pPr>
      <w:r>
        <w:rPr>
          <w:rFonts w:cs="Arial" w:ascii="Arial" w:hAnsi="Arial"/>
          <w:sz w:val="18"/>
        </w:rPr>
        <w:t>Distributor shall keep such books and records as are necessary to verify the amounts owed to Reuters under this Agreement.  Distributor will provide with each payment to Reuters: (a) a report, signed by an authorized representative of Distributor, setting forth the manner in which the payment was calculated, including, as appropriate, the reports detailing Page Views and/or Users for the prior month, and the information required under Section 10.5 of the Terms and Conditions.</w:t>
      </w:r>
    </w:p>
    <w:p>
      <w:pPr>
        <w:pStyle w:val="Normal"/>
        <w:ind w:start="-426" w:end="-427"/>
        <w:jc w:val="both"/>
        <w:rPr>
          <w:rFonts w:ascii="Arial" w:hAnsi="Arial" w:cs="Arial"/>
          <w:sz w:val="18"/>
        </w:rPr>
      </w:pPr>
      <w:r>
        <w:rPr>
          <w:rFonts w:cs="Arial" w:ascii="Arial" w:hAnsi="Arial"/>
          <w:sz w:val="18"/>
        </w:rPr>
      </w:r>
    </w:p>
    <w:p>
      <w:pPr>
        <w:pStyle w:val="Normal"/>
        <w:ind w:start="-426" w:end="-427"/>
        <w:jc w:val="both"/>
        <w:rPr/>
      </w:pPr>
      <w:r>
        <w:rPr>
          <w:rFonts w:cs="Arial" w:ascii="Arial" w:hAnsi="Arial"/>
          <w:b/>
          <w:sz w:val="18"/>
        </w:rPr>
        <w:t xml:space="preserve">3. </w:t>
      </w:r>
      <w:r>
        <w:rPr>
          <w:rFonts w:cs="Arial" w:ascii="Arial" w:hAnsi="Arial"/>
          <w:b/>
          <w:sz w:val="18"/>
          <w:u w:val="single"/>
        </w:rPr>
        <w:t>Audit Rights</w:t>
      </w:r>
      <w:r>
        <w:rPr>
          <w:rFonts w:cs="Arial" w:ascii="Arial" w:hAnsi="Arial"/>
          <w:sz w:val="18"/>
        </w:rPr>
        <w:t>. Once a year during the term of this Agreement and the first year thereafter, Reuters, at its expense and upon 10 days’ notice to Distributor, will have the right to examine Distributor’s relevant books and records in order to verify the figures reported in any report or statement required hereunder and the amounts owed to Reuters pursuant to this Agreement.  Such books and records will be made available at the place where these records are kept in the ordinary course of business.  Reuters shall have the right to make two (2) copies of such relevant books and records for the sole purpose of carrying out its examination, subject to Distributor’s right to redact, prior to copying, any sensitive information not relevant to the examination.  If, as a result of such examination, Reuters determines that Distributor mis-reported any figure or underpaid any amount, Reuters will promptly furnish to Distributor a copy of the results of its audit setting forth the discrepancy, and showing, in reasonable detail, the bases upon which the same was determined.  Distributor will remit to Reuters a sum equal to the amount of any underpayment within 30 days after notification of the discrepancy.  If such discrepancy is greater than 10% of the total amount reported by Distributor for the period audited, then Distributor will reimburse Reuters for the cost of the examination.</w:t>
      </w:r>
    </w:p>
    <w:p>
      <w:pPr>
        <w:pStyle w:val="Normal"/>
        <w:ind w:start="-426" w:end="-427"/>
        <w:jc w:val="both"/>
        <w:rPr>
          <w:rFonts w:ascii="Arial" w:hAnsi="Arial" w:cs="Arial"/>
          <w:b/>
          <w:sz w:val="18"/>
        </w:rPr>
      </w:pPr>
      <w:r>
        <w:rPr>
          <w:rFonts w:cs="Arial" w:ascii="Arial" w:hAnsi="Arial"/>
          <w:b/>
          <w:sz w:val="18"/>
        </w:rPr>
      </w:r>
    </w:p>
    <w:p>
      <w:pPr>
        <w:pStyle w:val="Normal"/>
        <w:ind w:start="-426" w:end="-427"/>
        <w:jc w:val="both"/>
        <w:rPr/>
      </w:pPr>
      <w:r>
        <w:rPr>
          <w:rFonts w:cs="Arial" w:ascii="Arial" w:hAnsi="Arial"/>
          <w:b/>
          <w:sz w:val="18"/>
        </w:rPr>
        <w:t xml:space="preserve">4. </w:t>
      </w:r>
      <w:r>
        <w:rPr>
          <w:rFonts w:cs="Arial" w:ascii="Arial" w:hAnsi="Arial"/>
          <w:b/>
          <w:sz w:val="18"/>
          <w:u w:val="single"/>
        </w:rPr>
        <w:t>Discount.</w:t>
      </w:r>
      <w:r>
        <w:rPr>
          <w:rFonts w:cs="Arial" w:ascii="Arial" w:hAnsi="Arial"/>
          <w:b/>
          <w:sz w:val="18"/>
        </w:rPr>
        <w:t xml:space="preserve"> </w:t>
      </w:r>
      <w:r>
        <w:rPr>
          <w:rFonts w:cs="Arial" w:ascii="Arial" w:hAnsi="Arial"/>
          <w:sz w:val="18"/>
        </w:rPr>
        <w:t>The total level of Fees for the Reuters Services, save for any Start-up Fees, shall be discounted by reference to the bands set forth below on the basis of the total aggregate quarterly Fees payable by the Distributor. However, notwithstanding the foregoing, if Distributor has not reported to Reuters within 5 working days after the 1st day of each quarter with the appropriate Page Views or per User reports as set out in Clause 2 of this Fee Schedule, the discount shall be calculated as if any fees relating to Page Views or per Users for that quarter were zero. Any subsequent invoice based on Page Views or per Users reports submitted after the 5 working day deadline, will attract a discount solely on the Page View or per User quarterly spend, disregarding Service Fees for the same period. The Discount bands are as follows:</w:t>
      </w:r>
    </w:p>
    <w:p>
      <w:pPr>
        <w:pStyle w:val="Normal"/>
        <w:ind w:start="-426" w:end="-427"/>
        <w:jc w:val="both"/>
        <w:rPr>
          <w:rFonts w:ascii="Arial" w:hAnsi="Arial" w:cs="Arial"/>
          <w:b/>
          <w:sz w:val="18"/>
        </w:rPr>
      </w:pPr>
      <w:r>
        <w:rPr>
          <w:rFonts w:cs="Arial" w:ascii="Arial" w:hAnsi="Arial"/>
          <w:b/>
          <w:sz w:val="18"/>
        </w:rPr>
      </w:r>
    </w:p>
    <w:p>
      <w:pPr>
        <w:pStyle w:val="Heading8"/>
        <w:rPr/>
      </w:pPr>
      <w:r>
        <w:rPr/>
        <w:t>US$ quarterly spend</w:t>
        <w:tab/>
        <w:tab/>
        <w:t>%Discount</w:t>
      </w:r>
    </w:p>
    <w:tbl>
      <w:tblPr>
        <w:tblW w:w="3227" w:type="dxa"/>
        <w:jc w:val="start"/>
        <w:tblInd w:w="0" w:type="dxa"/>
        <w:tblLayout w:type="fixed"/>
        <w:tblCellMar>
          <w:top w:w="0" w:type="dxa"/>
          <w:start w:w="108" w:type="dxa"/>
          <w:bottom w:w="0" w:type="dxa"/>
          <w:end w:w="108" w:type="dxa"/>
        </w:tblCellMar>
      </w:tblPr>
      <w:tblGrid>
        <w:gridCol w:w="1526"/>
        <w:gridCol w:w="1701"/>
      </w:tblGrid>
      <w:tr>
        <w:trPr/>
        <w:tc>
          <w:tcPr>
            <w:tcW w:w="1526" w:type="dxa"/>
            <w:tcBorders/>
          </w:tcPr>
          <w:p>
            <w:pPr>
              <w:pStyle w:val="TableNo"/>
              <w:rPr/>
            </w:pPr>
            <w:r>
              <w:rPr/>
              <w:t>60’000</w:t>
            </w:r>
          </w:p>
        </w:tc>
        <w:tc>
          <w:tcPr>
            <w:tcW w:w="1701" w:type="dxa"/>
            <w:tcBorders/>
          </w:tcPr>
          <w:p>
            <w:pPr>
              <w:pStyle w:val="TableNo"/>
              <w:rPr/>
            </w:pPr>
            <w:r>
              <w:rPr/>
              <w:t>5</w:t>
            </w:r>
          </w:p>
        </w:tc>
      </w:tr>
      <w:tr>
        <w:trPr/>
        <w:tc>
          <w:tcPr>
            <w:tcW w:w="1526" w:type="dxa"/>
            <w:tcBorders/>
          </w:tcPr>
          <w:p>
            <w:pPr>
              <w:pStyle w:val="TableNo"/>
              <w:rPr/>
            </w:pPr>
            <w:r>
              <w:rPr/>
              <w:t>90’000</w:t>
            </w:r>
          </w:p>
        </w:tc>
        <w:tc>
          <w:tcPr>
            <w:tcW w:w="1701" w:type="dxa"/>
            <w:tcBorders/>
          </w:tcPr>
          <w:p>
            <w:pPr>
              <w:pStyle w:val="TableNo"/>
              <w:rPr/>
            </w:pPr>
            <w:r>
              <w:rPr/>
              <w:t xml:space="preserve">10 </w:t>
            </w:r>
          </w:p>
        </w:tc>
      </w:tr>
      <w:tr>
        <w:trPr/>
        <w:tc>
          <w:tcPr>
            <w:tcW w:w="1526" w:type="dxa"/>
            <w:tcBorders/>
          </w:tcPr>
          <w:p>
            <w:pPr>
              <w:pStyle w:val="TableNo"/>
              <w:rPr/>
            </w:pPr>
            <w:r>
              <w:rPr/>
              <w:t>120’000</w:t>
            </w:r>
          </w:p>
        </w:tc>
        <w:tc>
          <w:tcPr>
            <w:tcW w:w="1701" w:type="dxa"/>
            <w:tcBorders/>
          </w:tcPr>
          <w:p>
            <w:pPr>
              <w:pStyle w:val="TableNo"/>
              <w:rPr/>
            </w:pPr>
            <w:r>
              <w:rPr/>
              <w:t xml:space="preserve">15 </w:t>
            </w:r>
          </w:p>
        </w:tc>
      </w:tr>
      <w:tr>
        <w:trPr/>
        <w:tc>
          <w:tcPr>
            <w:tcW w:w="1526" w:type="dxa"/>
            <w:tcBorders/>
          </w:tcPr>
          <w:p>
            <w:pPr>
              <w:pStyle w:val="TableNo"/>
              <w:rPr/>
            </w:pPr>
            <w:r>
              <w:rPr/>
              <w:t>150’000</w:t>
            </w:r>
          </w:p>
        </w:tc>
        <w:tc>
          <w:tcPr>
            <w:tcW w:w="1701" w:type="dxa"/>
            <w:tcBorders/>
          </w:tcPr>
          <w:p>
            <w:pPr>
              <w:pStyle w:val="TableNo"/>
              <w:rPr/>
            </w:pPr>
            <w:r>
              <w:rPr/>
              <w:t xml:space="preserve">20 </w:t>
            </w:r>
          </w:p>
        </w:tc>
      </w:tr>
      <w:tr>
        <w:trPr/>
        <w:tc>
          <w:tcPr>
            <w:tcW w:w="1526" w:type="dxa"/>
            <w:tcBorders/>
          </w:tcPr>
          <w:p>
            <w:pPr>
              <w:pStyle w:val="TableNo"/>
              <w:rPr/>
            </w:pPr>
            <w:r>
              <w:rPr/>
              <w:t>180’000</w:t>
            </w:r>
          </w:p>
        </w:tc>
        <w:tc>
          <w:tcPr>
            <w:tcW w:w="1701" w:type="dxa"/>
            <w:tcBorders/>
          </w:tcPr>
          <w:p>
            <w:pPr>
              <w:pStyle w:val="TableNo"/>
              <w:rPr/>
            </w:pPr>
            <w:r>
              <w:rPr/>
              <w:t>25</w:t>
            </w:r>
          </w:p>
        </w:tc>
      </w:tr>
      <w:tr>
        <w:trPr/>
        <w:tc>
          <w:tcPr>
            <w:tcW w:w="1526" w:type="dxa"/>
            <w:tcBorders/>
          </w:tcPr>
          <w:p>
            <w:pPr>
              <w:pStyle w:val="TableNo"/>
              <w:rPr/>
            </w:pPr>
            <w:r>
              <w:rPr/>
              <w:t>225’000</w:t>
            </w:r>
          </w:p>
        </w:tc>
        <w:tc>
          <w:tcPr>
            <w:tcW w:w="1701" w:type="dxa"/>
            <w:tcBorders/>
          </w:tcPr>
          <w:p>
            <w:pPr>
              <w:pStyle w:val="TableNo"/>
              <w:rPr/>
            </w:pPr>
            <w:r>
              <w:rPr/>
              <w:t>30</w:t>
            </w:r>
          </w:p>
        </w:tc>
      </w:tr>
      <w:tr>
        <w:trPr/>
        <w:tc>
          <w:tcPr>
            <w:tcW w:w="1526" w:type="dxa"/>
            <w:tcBorders/>
          </w:tcPr>
          <w:p>
            <w:pPr>
              <w:pStyle w:val="TableNo"/>
              <w:rPr/>
            </w:pPr>
            <w:r>
              <w:rPr/>
              <w:t>300’000</w:t>
            </w:r>
          </w:p>
        </w:tc>
        <w:tc>
          <w:tcPr>
            <w:tcW w:w="1701" w:type="dxa"/>
            <w:tcBorders/>
          </w:tcPr>
          <w:p>
            <w:pPr>
              <w:pStyle w:val="TableNo"/>
              <w:rPr/>
            </w:pPr>
            <w:r>
              <w:rPr/>
              <w:t>35</w:t>
            </w:r>
          </w:p>
        </w:tc>
      </w:tr>
      <w:tr>
        <w:trPr/>
        <w:tc>
          <w:tcPr>
            <w:tcW w:w="1526" w:type="dxa"/>
            <w:tcBorders/>
          </w:tcPr>
          <w:p>
            <w:pPr>
              <w:pStyle w:val="TableNo"/>
              <w:rPr/>
            </w:pPr>
            <w:r>
              <w:rPr/>
              <w:t>375’000</w:t>
            </w:r>
          </w:p>
        </w:tc>
        <w:tc>
          <w:tcPr>
            <w:tcW w:w="1701" w:type="dxa"/>
            <w:tcBorders/>
          </w:tcPr>
          <w:p>
            <w:pPr>
              <w:pStyle w:val="TableNo"/>
              <w:rPr/>
            </w:pPr>
            <w:r>
              <w:rPr/>
              <w:t>40</w:t>
            </w:r>
          </w:p>
        </w:tc>
      </w:tr>
      <w:tr>
        <w:trPr/>
        <w:tc>
          <w:tcPr>
            <w:tcW w:w="1526" w:type="dxa"/>
            <w:tcBorders/>
          </w:tcPr>
          <w:p>
            <w:pPr>
              <w:pStyle w:val="TableNo"/>
              <w:rPr/>
            </w:pPr>
            <w:r>
              <w:rPr/>
              <w:t>450’000</w:t>
            </w:r>
          </w:p>
        </w:tc>
        <w:tc>
          <w:tcPr>
            <w:tcW w:w="1701" w:type="dxa"/>
            <w:tcBorders/>
          </w:tcPr>
          <w:p>
            <w:pPr>
              <w:pStyle w:val="TableNo"/>
              <w:rPr/>
            </w:pPr>
            <w:r>
              <w:rPr/>
              <w:t>45</w:t>
            </w:r>
          </w:p>
        </w:tc>
      </w:tr>
      <w:tr>
        <w:trPr/>
        <w:tc>
          <w:tcPr>
            <w:tcW w:w="1526" w:type="dxa"/>
            <w:tcBorders/>
          </w:tcPr>
          <w:p>
            <w:pPr>
              <w:pStyle w:val="TableNo"/>
              <w:rPr/>
            </w:pPr>
            <w:r>
              <w:rPr/>
              <w:t>525’000</w:t>
            </w:r>
          </w:p>
        </w:tc>
        <w:tc>
          <w:tcPr>
            <w:tcW w:w="1701" w:type="dxa"/>
            <w:tcBorders/>
          </w:tcPr>
          <w:p>
            <w:pPr>
              <w:pStyle w:val="TableNo"/>
              <w:rPr/>
            </w:pPr>
            <w:r>
              <w:rPr/>
              <w:t>50</w:t>
            </w:r>
          </w:p>
        </w:tc>
      </w:tr>
    </w:tbl>
    <w:p>
      <w:pPr>
        <w:pStyle w:val="Normal"/>
        <w:ind w:start="-426" w:end="-427"/>
        <w:jc w:val="both"/>
        <w:rPr>
          <w:rFonts w:ascii="Arial" w:hAnsi="Arial" w:cs="Arial"/>
          <w:sz w:val="18"/>
        </w:rPr>
      </w:pPr>
      <w:r>
        <w:rPr>
          <w:rFonts w:cs="Arial" w:ascii="Arial" w:hAnsi="Arial"/>
          <w:sz w:val="18"/>
        </w:rPr>
      </w:r>
      <w:r>
        <w:br w:type="page"/>
      </w:r>
    </w:p>
    <w:p>
      <w:pPr>
        <w:pStyle w:val="Normal"/>
        <w:tabs>
          <w:tab w:val="clear" w:pos="720"/>
          <w:tab w:val="left" w:pos="567" w:leader="none"/>
          <w:tab w:val="right" w:pos="4253" w:leader="none"/>
          <w:tab w:val="left" w:pos="4678" w:leader="none"/>
          <w:tab w:val="left" w:pos="5245" w:leader="none"/>
          <w:tab w:val="right" w:pos="8930" w:leader="underscore"/>
        </w:tabs>
        <w:spacing w:before="120" w:after="0"/>
        <w:ind w:firstLine="720" w:start="-425" w:end="0"/>
        <w:rPr>
          <w:rFonts w:ascii="Arial" w:hAnsi="Arial" w:cs="Arial"/>
          <w:b/>
          <w:sz w:val="18"/>
        </w:rPr>
      </w:pPr>
      <w:r>
        <w:rPr>
          <w:rFonts w:cs="Arial" w:ascii="Arial" w:hAnsi="Arial"/>
          <w:b/>
          <w:sz w:val="18"/>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Heading2"/>
        <w:ind w:hanging="0" w:start="0"/>
        <w:rPr>
          <w:rFonts w:ascii="Arial" w:hAnsi="Arial" w:cs="Arial"/>
        </w:rPr>
      </w:pPr>
      <w:r>
        <w:rPr>
          <w:rFonts w:cs="Arial" w:ascii="Arial" w:hAnsi="Arial"/>
        </w:rPr>
        <w:t>ADDENDUM TO REUTERS INVESTOR DISTRIBUTION TERMS AND CONDITIONS</w:t>
      </w:r>
    </w:p>
    <w:p>
      <w:pPr>
        <w:pStyle w:val="Normal"/>
        <w:jc w:val="center"/>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Background</w:t>
      </w:r>
    </w:p>
    <w:p>
      <w:pPr>
        <w:pStyle w:val="Normal"/>
        <w:rPr>
          <w:rFonts w:ascii="Arial" w:hAnsi="Arial" w:cs="Arial"/>
          <w:b/>
          <w:sz w:val="18"/>
        </w:rPr>
      </w:pPr>
      <w:r>
        <w:rPr>
          <w:rFonts w:cs="Arial" w:ascii="Arial" w:hAnsi="Arial"/>
          <w:b/>
          <w:sz w:val="18"/>
        </w:rPr>
      </w:r>
    </w:p>
    <w:p>
      <w:pPr>
        <w:pStyle w:val="BodyText"/>
        <w:tabs>
          <w:tab w:val="left" w:pos="720" w:leader="none"/>
        </w:tabs>
        <w:ind w:hanging="720" w:start="720" w:end="0"/>
        <w:rPr/>
      </w:pPr>
      <w:r>
        <w:rPr>
          <w:rFonts w:cs="Arial" w:ascii="Arial" w:hAnsi="Arial"/>
          <w:b w:val="false"/>
          <w:sz w:val="18"/>
        </w:rPr>
        <w:t>1.1</w:t>
        <w:tab/>
        <w:t>Reuters and Distributor have signed an agreement incorporating the Reuters Investor Distribution Terms and Conditions (“</w:t>
      </w:r>
      <w:r>
        <w:rPr>
          <w:rFonts w:cs="Arial" w:ascii="Arial" w:hAnsi="Arial"/>
          <w:i/>
          <w:sz w:val="18"/>
        </w:rPr>
        <w:t>T&amp;Cs</w:t>
      </w:r>
      <w:r>
        <w:rPr>
          <w:rFonts w:cs="Arial" w:ascii="Arial" w:hAnsi="Arial"/>
          <w:b w:val="false"/>
          <w:sz w:val="18"/>
        </w:rPr>
        <w:t>”) as at today’s date.  This Addendum records certain amendments and additions to such Terms and Conditions and should be read in conjunction with them.</w:t>
      </w:r>
    </w:p>
    <w:p>
      <w:pPr>
        <w:pStyle w:val="Normal"/>
        <w:jc w:val="both"/>
        <w:rPr>
          <w:rFonts w:ascii="Arial" w:hAnsi="Arial" w:cs="Arial"/>
          <w:b/>
          <w:sz w:val="18"/>
        </w:rPr>
      </w:pPr>
      <w:r>
        <w:rPr>
          <w:rFonts w:cs="Arial" w:ascii="Arial" w:hAnsi="Arial"/>
          <w:b/>
          <w:sz w:val="18"/>
        </w:rPr>
      </w:r>
    </w:p>
    <w:p>
      <w:pPr>
        <w:pStyle w:val="Normal"/>
        <w:tabs>
          <w:tab w:val="left" w:pos="720" w:leader="none"/>
        </w:tabs>
        <w:ind w:hanging="720" w:start="720" w:end="0"/>
        <w:jc w:val="both"/>
        <w:rPr>
          <w:rFonts w:ascii="Arial" w:hAnsi="Arial" w:cs="Arial"/>
          <w:sz w:val="18"/>
        </w:rPr>
      </w:pPr>
      <w:r>
        <w:rPr>
          <w:rFonts w:cs="Arial" w:ascii="Arial" w:hAnsi="Arial"/>
          <w:sz w:val="18"/>
        </w:rPr>
        <w:t>1.2</w:t>
        <w:tab/>
        <w:t>In the event of any inconsistency between this Addendum and the Terms and Conditions, the provisions of this Addendum will prevail.</w:t>
      </w:r>
    </w:p>
    <w:p>
      <w:pPr>
        <w:pStyle w:val="Normal"/>
        <w:jc w:val="both"/>
        <w:rPr>
          <w:rFonts w:ascii="Arial" w:hAnsi="Arial" w:cs="Arial"/>
          <w:sz w:val="18"/>
        </w:rPr>
      </w:pPr>
      <w:r>
        <w:rPr>
          <w:rFonts w:cs="Arial" w:ascii="Arial" w:hAnsi="Arial"/>
          <w:sz w:val="18"/>
        </w:rPr>
      </w:r>
    </w:p>
    <w:p>
      <w:pPr>
        <w:pStyle w:val="Normal"/>
        <w:tabs>
          <w:tab w:val="left" w:pos="720" w:leader="none"/>
        </w:tabs>
        <w:ind w:hanging="720" w:start="720" w:end="0"/>
        <w:jc w:val="both"/>
        <w:rPr>
          <w:rFonts w:ascii="Arial" w:hAnsi="Arial" w:cs="Arial"/>
          <w:sz w:val="18"/>
        </w:rPr>
      </w:pPr>
      <w:r>
        <w:rPr>
          <w:rFonts w:cs="Arial" w:ascii="Arial" w:hAnsi="Arial"/>
          <w:sz w:val="18"/>
        </w:rPr>
        <w:t>1.3</w:t>
        <w:tab/>
        <w:t>Except as expressly stated in this Addendum, the Terms and Conditions remain unamended and in full force and effect.</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b/>
          <w:sz w:val="18"/>
        </w:rPr>
        <w:t>2.</w:t>
        <w:tab/>
        <w:t>Amendments</w:t>
      </w:r>
    </w:p>
    <w:p>
      <w:pPr>
        <w:pStyle w:val="Normal"/>
        <w:ind w:start="-426" w:end="-427"/>
        <w:rPr>
          <w:rFonts w:ascii="Arial" w:hAnsi="Arial" w:cs="Arial"/>
          <w:b/>
          <w:sz w:val="18"/>
        </w:rPr>
      </w:pPr>
      <w:r>
        <w:rPr>
          <w:rFonts w:cs="Arial" w:ascii="Arial" w:hAnsi="Arial"/>
          <w:b/>
          <w:sz w:val="18"/>
        </w:rPr>
      </w:r>
    </w:p>
    <w:p>
      <w:pPr>
        <w:pStyle w:val="Normal"/>
        <w:tabs>
          <w:tab w:val="clear" w:pos="720"/>
          <w:tab w:val="left" w:pos="567" w:leader="none"/>
          <w:tab w:val="right" w:pos="4253" w:leader="none"/>
          <w:tab w:val="left" w:pos="4678" w:leader="none"/>
          <w:tab w:val="left" w:pos="5245" w:leader="none"/>
          <w:tab w:val="right" w:pos="8930" w:leader="underscore"/>
        </w:tabs>
        <w:spacing w:before="120" w:after="0"/>
        <w:ind w:firstLine="720" w:start="-425" w:end="0"/>
        <w:rPr>
          <w:rFonts w:ascii="Arial" w:hAnsi="Arial" w:cs="Arial"/>
          <w:b/>
        </w:rPr>
      </w:pPr>
      <w:r>
        <w:rPr>
          <w:rFonts w:cs="Arial" w:ascii="Arial" w:hAnsi="Arial"/>
          <w:b/>
        </w:rPr>
      </w:r>
    </w:p>
    <w:sectPr>
      <w:headerReference w:type="default" r:id="rId2"/>
      <w:footerReference w:type="default" r:id="rId3"/>
      <w:type w:val="nextPage"/>
      <w:pgSz w:w="11906" w:h="16838"/>
      <w:pgMar w:left="1418" w:right="1418" w:gutter="0" w:header="720" w:top="1440" w:footer="720" w:bottom="13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000000"/>
      </w:pBdr>
      <w:ind w:start="-284" w:end="-567"/>
      <w:rPr/>
    </w:pPr>
    <w:r>
      <w:rPr>
        <w:rFonts w:cs="Arial" w:ascii="Arial" w:hAnsi="Arial"/>
        <w:sz w:val="16"/>
      </w:rPr>
      <w:fldChar w:fldCharType="begin"/>
    </w:r>
    <w:r>
      <w:rPr>
        <w:sz w:val="16"/>
        <w:rFonts w:cs="Arial" w:ascii="Arial" w:hAnsi="Arial"/>
      </w:rPr>
      <w:instrText xml:space="preserve"> DATE \@"dd\-MM\-yy" </w:instrText>
    </w:r>
    <w:r>
      <w:rPr>
        <w:sz w:val="16"/>
        <w:rFonts w:cs="Arial" w:ascii="Arial" w:hAnsi="Arial"/>
      </w:rPr>
      <w:fldChar w:fldCharType="separate"/>
    </w:r>
    <w:r>
      <w:rPr>
        <w:sz w:val="16"/>
        <w:rFonts w:cs="Arial" w:ascii="Arial" w:hAnsi="Arial"/>
      </w:rPr>
      <w:t>28-09-25</w:t>
    </w:r>
    <w:r>
      <w:rPr>
        <w:sz w:val="16"/>
        <w:rFonts w:cs="Arial" w:ascii="Arial" w:hAnsi="Arial"/>
      </w:rPr>
      <w:fldChar w:fldCharType="end"/>
    </w:r>
    <w:r>
      <w:rPr>
        <w:rFonts w:cs="Arial" w:ascii="Arial" w:hAnsi="Arial"/>
        <w:sz w:val="16"/>
      </w:rPr>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7</w:t>
    </w:r>
    <w:r>
      <w:rPr>
        <w:rStyle w:val="PageNumber"/>
        <w:sz w:val="16"/>
        <w:rFonts w:cs="Arial" w:ascii="Arial" w:hAnsi="Arial"/>
      </w:rPr>
      <w:fldChar w:fldCharType="end"/>
    </w:r>
    <w:r>
      <w:rPr>
        <w:rStyle w:val="PageNumber"/>
        <w:rFonts w:cs="Arial" w:ascii="Arial" w:hAnsi="Arial"/>
        <w:sz w:val="16"/>
      </w:rPr>
      <w:t xml:space="preserve"> of 6</w:t>
    </w:r>
    <w:r>
      <w:rPr>
        <w:rFonts w:cs="Arial" w:ascii="Arial" w:hAnsi="Arial"/>
        <w:sz w:val="16"/>
      </w:rPr>
      <w:tab/>
      <w:t>Client name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0"/>
      <w:rPr>
        <w:rFonts w:ascii="Arial" w:hAnsi="Arial" w:cs="Arial"/>
        <w:b/>
        <w:sz w:val="28"/>
      </w:rPr>
    </w:pPr>
    <w:r>
      <w:rPr>
        <w:rFonts w:cs="Arial" w:ascii="Arial" w:hAnsi="Arial"/>
        <w:b/>
        <w:sz w:val="28"/>
      </w:rPr>
      <w:t>Reuters On-Line SA</w:t>
      <w:tab/>
      <w:tab/>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25"/>
        </w:tabs>
        <w:ind w:start="1425" w:hanging="720"/>
      </w:pPr>
      <w:rPr/>
    </w:lvl>
  </w:abstractNum>
  <w:abstractNum w:abstractNumId="3">
    <w:lvl w:ilvl="0">
      <w:start w:val="1"/>
      <w:numFmt w:val="decimal"/>
      <w:lvlText w:val="%1."/>
      <w:lvlJc w:val="start"/>
      <w:pPr>
        <w:tabs>
          <w:tab w:val="num" w:pos="360"/>
        </w:tabs>
        <w:ind w:start="360" w:hanging="360"/>
      </w:pPr>
      <w:rPr>
        <w:b/>
      </w:rPr>
    </w:lvl>
  </w:abstractNum>
  <w:abstractNum w:abstractNumId="4">
    <w:lvl w:ilvl="0">
      <w:start w:val="1"/>
      <w:numFmt w:val="lowerRoman"/>
      <w:lvlText w:val="(%1)"/>
      <w:lvlJc w:val="start"/>
      <w:pPr>
        <w:tabs>
          <w:tab w:val="num" w:pos="1425"/>
        </w:tabs>
        <w:ind w:start="1425" w:hanging="72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1"/>
      <w:numFmt w:val="lowerRoman"/>
      <w:lvlText w:val="(%1)"/>
      <w:lvlJc w:val="start"/>
      <w:pPr>
        <w:tabs>
          <w:tab w:val="num" w:pos="294"/>
        </w:tabs>
        <w:ind w:start="294"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FF"/>
      <w:sz w:val="16"/>
    </w:rPr>
  </w:style>
  <w:style w:type="paragraph" w:styleId="Heading5">
    <w:name w:val="heading 5"/>
    <w:basedOn w:val="Normal"/>
    <w:next w:val="Normal"/>
    <w:qFormat/>
    <w:pPr>
      <w:keepNext w:val="true"/>
      <w:numPr>
        <w:ilvl w:val="4"/>
        <w:numId w:val="1"/>
      </w:numPr>
      <w:jc w:val="center"/>
      <w:outlineLvl w:val="4"/>
    </w:pPr>
    <w:rPr>
      <w:rFonts w:ascii="Arial" w:hAnsi="Arial" w:cs="Arial"/>
      <w:b/>
      <w:sz w:val="16"/>
    </w:rPr>
  </w:style>
  <w:style w:type="paragraph" w:styleId="Heading6">
    <w:name w:val="heading 6"/>
    <w:basedOn w:val="Normal"/>
    <w:next w:val="Normal"/>
    <w:qFormat/>
    <w:pPr>
      <w:keepNext w:val="true"/>
      <w:numPr>
        <w:ilvl w:val="5"/>
        <w:numId w:val="1"/>
      </w:numPr>
      <w:jc w:val="center"/>
      <w:outlineLvl w:val="5"/>
    </w:pPr>
    <w:rPr>
      <w:rFonts w:ascii="Arial" w:hAnsi="Arial" w:cs="Arial"/>
      <w:b/>
      <w:sz w:val="18"/>
    </w:rPr>
  </w:style>
  <w:style w:type="paragraph" w:styleId="Heading7">
    <w:name w:val="heading 7"/>
    <w:basedOn w:val="Normal"/>
    <w:next w:val="Normal"/>
    <w:qFormat/>
    <w:pPr>
      <w:keepNext w:val="true"/>
      <w:numPr>
        <w:ilvl w:val="6"/>
        <w:numId w:val="1"/>
      </w:numPr>
      <w:outlineLvl w:val="6"/>
    </w:pPr>
    <w:rPr>
      <w:rFonts w:ascii="Arial" w:hAnsi="Arial" w:cs="Arial"/>
      <w:b/>
      <w:sz w:val="18"/>
    </w:rPr>
  </w:style>
  <w:style w:type="paragraph" w:styleId="Heading8">
    <w:name w:val="heading 8"/>
    <w:basedOn w:val="Normal"/>
    <w:next w:val="Normal"/>
    <w:qFormat/>
    <w:pPr>
      <w:keepNext w:val="true"/>
      <w:numPr>
        <w:ilvl w:val="7"/>
        <w:numId w:val="1"/>
      </w:numPr>
      <w:ind w:hanging="0" w:start="-426" w:end="-427"/>
      <w:jc w:val="both"/>
      <w:outlineLvl w:val="7"/>
    </w:pPr>
    <w:rPr>
      <w:rFonts w:ascii="Arial" w:hAnsi="Arial" w:cs="Arial"/>
      <w:b/>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843" w:leader="none"/>
        <w:tab w:val="left" w:pos="3828" w:leader="none"/>
      </w:tabs>
      <w:ind w:hanging="0" w:start="-426" w:end="0"/>
    </w:pPr>
    <w:rPr>
      <w:rFonts w:ascii="Arial" w:hAnsi="Arial" w:cs="Arial"/>
    </w:rPr>
  </w:style>
  <w:style w:type="paragraph" w:styleId="BodyTextIndent2">
    <w:name w:val="Body Text Indent 2"/>
    <w:basedOn w:val="Normal"/>
    <w:qFormat/>
    <w:pPr>
      <w:ind w:hanging="0" w:start="-426" w:end="0"/>
    </w:pPr>
    <w:rPr>
      <w:rFonts w:ascii="Arial" w:hAnsi="Arial" w:cs="Arial"/>
      <w:b/>
      <w:color w:val="FF0000"/>
      <w:sz w:val="18"/>
    </w:rPr>
  </w:style>
  <w:style w:type="paragraph" w:styleId="BodyTextIndent3">
    <w:name w:val="Body Text Indent 3"/>
    <w:basedOn w:val="Normal"/>
    <w:qFormat/>
    <w:pPr>
      <w:ind w:hanging="0" w:start="-426" w:end="0"/>
    </w:pPr>
    <w:rPr>
      <w:rFonts w:ascii="Arial" w:hAnsi="Arial" w:cs="Arial"/>
      <w:i/>
      <w:color w:val="0000FF"/>
      <w:sz w:val="18"/>
    </w:rPr>
  </w:style>
  <w:style w:type="paragraph" w:styleId="Subtitle">
    <w:name w:val="Subtitle"/>
    <w:basedOn w:val="Normal"/>
    <w:next w:val="BodyText"/>
    <w:qFormat/>
    <w:pPr>
      <w:jc w:val="center"/>
    </w:pPr>
    <w:rPr>
      <w:b/>
      <w:sz w:val="24"/>
      <w:lang w:val="en-GB"/>
    </w:rPr>
  </w:style>
  <w:style w:type="paragraph" w:styleId="TableNo">
    <w:name w:val="TableNo"/>
    <w:basedOn w:val="BodyTextIndent"/>
    <w:qFormat/>
    <w:pPr>
      <w:tabs>
        <w:tab w:val="clear" w:pos="3828"/>
        <w:tab w:val="right" w:pos="1843" w:leader="none"/>
      </w:tabs>
      <w:ind w:hanging="0" w:start="567" w:end="0"/>
      <w:jc w:val="end"/>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2000-03-15T12:23:00Z</dcterms:created>
  <dc:creator>MAX</dc:creator>
  <dc:description>The Daredevil's Birthday falls on 15th of September. Don't Forget to wish him.</dc:description>
  <cp:keywords>Birthday</cp:keywords>
  <dc:language>en-CA</dc:language>
  <cp:lastModifiedBy>KARIN WORTELBOER</cp:lastModifiedBy>
  <cp:lastPrinted>2000-03-14T15:22:00Z</cp:lastPrinted>
  <dcterms:modified xsi:type="dcterms:W3CDTF">2000-03-15T12:23:00Z</dcterms:modified>
  <cp:revision>2</cp:revision>
  <dc:subject>Birthday </dc:subject>
  <dc:title>Contract No</dc:title>
</cp:coreProperties>
</file>