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rFonts w:eastAsia="MS Mincho;ＭＳ 明朝"/>
        </w:rPr>
      </w:pPr>
      <w:r>
        <w:rPr>
          <w:rFonts w:eastAsia="MS Mincho;ＭＳ 明朝"/>
        </w:rPr>
        <w:t>NETTING AND CLOSE-OUT AGREEMENT</w:t>
      </w:r>
    </w:p>
    <w:p>
      <w:pPr>
        <w:pStyle w:val="Subtitle"/>
        <w:rPr>
          <w:rFonts w:eastAsia="MS Mincho;ＭＳ 明朝"/>
        </w:rPr>
      </w:pPr>
      <w:r>
        <w:rPr>
          <w:rFonts w:eastAsia="MS Mincho;ＭＳ 明朝"/>
        </w:rPr>
        <w:t>(Electric Power)</w:t>
      </w:r>
    </w:p>
    <w:p>
      <w:pPr>
        <w:pStyle w:val="Normal"/>
        <w:rPr>
          <w:rFonts w:eastAsia="MS Mincho;ＭＳ 明朝"/>
        </w:rPr>
      </w:pPr>
      <w:r>
        <w:rPr>
          <w:rFonts w:eastAsia="MS Mincho;ＭＳ 明朝"/>
        </w:rPr>
      </w:r>
    </w:p>
    <w:p>
      <w:pPr>
        <w:pStyle w:val="PlainText"/>
        <w:rPr>
          <w:rFonts w:ascii="Times New Roman" w:hAnsi="Times New Roman" w:eastAsia="MS Mincho;ＭＳ 明朝" w:cs="Times New Roman"/>
        </w:rPr>
      </w:pPr>
      <w:r>
        <w:rPr>
          <w:rFonts w:eastAsia="MS Mincho;ＭＳ 明朝" w:cs="Times New Roman" w:ascii="Times New Roman" w:hAnsi="Times New Roman"/>
        </w:rPr>
        <w:t xml:space="preserve">This Agreement entered into on this 27th day of November, 2001, constitutes the understanding between Enron Power Marketing, Inc. (“EPMI”), a Delaware corporation, its successors and assigns, and Southern Company Services, Inc., an Alabama corporation, as authorized agent for and on behalf of the Southern Company operating companies, Alabama Power Company, an Alabama corporation, Georgia Power Company, a Georgia corporation, Gulf Power Company, a Maine corporation, Mississippi Power Company, a Mississippi corporation, Savannah Electric and Power Company, a Georgia  corporation, and Southern Power Company, a Delaware corporation, (“SOCO’), its successors and assigns (each, a “Party” and collectively, the “Parties”) pertaining to certain obligations arising out of all existing and future Contracts between the Parties relative to the sale, purchase, or exchange of electric power.  The Parties desire to provide a method by which any amounts due or payable in relation to the Contracts may be settled by a monthly netting settlement and by which Contracts and other agreements between the Parties may be terminated and liquidated under the circumstances set forth below. </w:t>
      </w:r>
    </w:p>
    <w:p>
      <w:pPr>
        <w:pStyle w:val="PlainText"/>
        <w:rPr>
          <w:rFonts w:ascii="Times New Roman" w:hAnsi="Times New Roman" w:eastAsia="MS Mincho;ＭＳ 明朝" w:cs="Times New Roman"/>
        </w:rPr>
      </w:pPr>
      <w:r>
        <w:rPr>
          <w:rFonts w:eastAsia="MS Mincho;ＭＳ 明朝" w:cs="Times New Roman" w:ascii="Times New Roman" w:hAnsi="Times New Roman"/>
        </w:rPr>
      </w:r>
    </w:p>
    <w:p>
      <w:pPr>
        <w:pStyle w:val="List"/>
        <w:rPr>
          <w:rFonts w:eastAsia="MS Mincho;ＭＳ 明朝"/>
        </w:rPr>
      </w:pPr>
      <w:r>
        <w:rPr>
          <w:rFonts w:eastAsia="MS Mincho;ＭＳ 明朝"/>
        </w:rPr>
        <w:t>1.</w:t>
        <w:tab/>
        <w:t xml:space="preserve">DEFINITIONS </w:t>
      </w:r>
    </w:p>
    <w:p>
      <w:pPr>
        <w:pStyle w:val="Normal"/>
        <w:rPr>
          <w:rFonts w:eastAsia="MS Mincho;ＭＳ 明朝"/>
        </w:rPr>
      </w:pPr>
      <w:r>
        <w:rPr>
          <w:rFonts w:eastAsia="MS Mincho;ＭＳ 明朝"/>
        </w:rPr>
      </w:r>
    </w:p>
    <w:p>
      <w:pPr>
        <w:pStyle w:val="ListBullet2"/>
        <w:rPr/>
      </w:pPr>
      <w:r>
        <w:rPr>
          <w:rFonts w:eastAsia="MS Mincho;ＭＳ 明朝"/>
        </w:rPr>
        <w:t>(a)</w:t>
        <w:tab/>
        <w:t>“</w:t>
      </w:r>
      <w:r>
        <w:rPr>
          <w:rFonts w:eastAsia="MS Mincho;ＭＳ 明朝"/>
          <w:u w:val="single"/>
        </w:rPr>
        <w:t>Affiliate</w:t>
      </w:r>
      <w:r>
        <w:rPr>
          <w:rFonts w:eastAsia="MS Mincho;ＭＳ 明朝"/>
        </w:rPr>
        <w:t xml:space="preserve">.”  With respect to a Party,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 </w:t>
      </w:r>
    </w:p>
    <w:p>
      <w:pPr>
        <w:pStyle w:val="ListBullet2"/>
        <w:rPr>
          <w:rFonts w:eastAsia="MS Mincho;ＭＳ 明朝"/>
        </w:rPr>
      </w:pPr>
      <w:r>
        <w:rPr>
          <w:rFonts w:eastAsia="MS Mincho;ＭＳ 明朝"/>
        </w:rPr>
      </w:r>
    </w:p>
    <w:p>
      <w:pPr>
        <w:pStyle w:val="ListBullet2"/>
        <w:rPr/>
      </w:pPr>
      <w:r>
        <w:rPr>
          <w:rFonts w:eastAsia="MS Mincho;ＭＳ 明朝"/>
        </w:rPr>
        <w:t>(b)</w:t>
        <w:tab/>
        <w:t>“</w:t>
      </w:r>
      <w:r>
        <w:rPr>
          <w:rFonts w:eastAsia="MS Mincho;ＭＳ 明朝"/>
          <w:u w:val="single"/>
        </w:rPr>
        <w:t>Business Day</w:t>
      </w:r>
      <w:r>
        <w:rPr>
          <w:rFonts w:eastAsia="MS Mincho;ＭＳ 明朝"/>
        </w:rPr>
        <w:t xml:space="preserve">.”  Any day on which Federal Reserve member banks in New York City are open for business; and a Business Day shall open at 8:00 a.m. and close at 5:00 p.m. Central Prevailing Time (“CPT”). </w:t>
      </w:r>
    </w:p>
    <w:p>
      <w:pPr>
        <w:pStyle w:val="ListBullet2"/>
        <w:rPr>
          <w:rFonts w:eastAsia="MS Mincho;ＭＳ 明朝"/>
        </w:rPr>
      </w:pPr>
      <w:r>
        <w:rPr>
          <w:rFonts w:eastAsia="MS Mincho;ＭＳ 明朝"/>
        </w:rPr>
      </w:r>
    </w:p>
    <w:p>
      <w:pPr>
        <w:pStyle w:val="ListBullet2"/>
        <w:rPr/>
      </w:pPr>
      <w:r>
        <w:rPr>
          <w:rFonts w:eastAsia="MS Mincho;ＭＳ 明朝"/>
        </w:rPr>
        <w:t>(c)</w:t>
        <w:tab/>
        <w:t>“</w:t>
      </w:r>
      <w:r>
        <w:rPr>
          <w:rFonts w:eastAsia="MS Mincho;ＭＳ 明朝"/>
          <w:u w:val="single"/>
        </w:rPr>
        <w:t>Buyer</w:t>
      </w:r>
      <w:r>
        <w:rPr>
          <w:rFonts w:eastAsia="MS Mincho;ＭＳ 明朝"/>
        </w:rPr>
        <w:t xml:space="preserve">.” The Party identified as the buyer in the relevant underlying Contract. </w:t>
      </w:r>
    </w:p>
    <w:p>
      <w:pPr>
        <w:pStyle w:val="ListBullet2"/>
        <w:rPr>
          <w:rFonts w:eastAsia="MS Mincho;ＭＳ 明朝"/>
        </w:rPr>
      </w:pPr>
      <w:r>
        <w:rPr>
          <w:rFonts w:eastAsia="MS Mincho;ＭＳ 明朝"/>
        </w:rPr>
      </w:r>
    </w:p>
    <w:p>
      <w:pPr>
        <w:pStyle w:val="ListBullet2"/>
        <w:rPr/>
      </w:pPr>
      <w:r>
        <w:rPr>
          <w:rFonts w:eastAsia="MS Mincho;ＭＳ 明朝"/>
        </w:rPr>
        <w:t>(d)</w:t>
        <w:tab/>
        <w:t>“</w:t>
      </w:r>
      <w:r>
        <w:rPr>
          <w:rFonts w:eastAsia="MS Mincho;ＭＳ 明朝"/>
          <w:u w:val="single"/>
        </w:rPr>
        <w:t>Contract</w:t>
      </w:r>
      <w:r>
        <w:rPr>
          <w:rFonts w:eastAsia="MS Mincho;ＭＳ 明朝"/>
        </w:rPr>
        <w:t xml:space="preserve">.”  Any oral or written agreement that pertains to the sale, purchase, or exchange of electric power, as agreed to by the Parties. </w:t>
      </w:r>
    </w:p>
    <w:p>
      <w:pPr>
        <w:pStyle w:val="ListBullet2"/>
        <w:rPr>
          <w:rFonts w:eastAsia="MS Mincho;ＭＳ 明朝"/>
        </w:rPr>
      </w:pPr>
      <w:r>
        <w:rPr>
          <w:rFonts w:eastAsia="MS Mincho;ＭＳ 明朝"/>
        </w:rPr>
      </w:r>
    </w:p>
    <w:p>
      <w:pPr>
        <w:pStyle w:val="ListBullet2"/>
        <w:rPr/>
      </w:pPr>
      <w:r>
        <w:rPr>
          <w:rFonts w:eastAsia="MS Mincho;ＭＳ 明朝"/>
        </w:rPr>
        <w:t>(e)</w:t>
        <w:tab/>
        <w:t>“</w:t>
      </w:r>
      <w:r>
        <w:rPr>
          <w:rFonts w:eastAsia="MS Mincho;ＭＳ 明朝"/>
          <w:u w:val="single"/>
        </w:rPr>
        <w:t>Net Receivable</w:t>
      </w:r>
      <w:r>
        <w:rPr>
          <w:rFonts w:eastAsia="MS Mincho;ＭＳ 明朝"/>
        </w:rPr>
        <w:t xml:space="preserve">.”  The amount that remains owing by one Party to the other Party after allowing for netting as provided herein. </w:t>
      </w:r>
    </w:p>
    <w:p>
      <w:pPr>
        <w:pStyle w:val="ListBullet2"/>
        <w:rPr>
          <w:rFonts w:eastAsia="MS Mincho;ＭＳ 明朝"/>
        </w:rPr>
      </w:pPr>
      <w:r>
        <w:rPr>
          <w:rFonts w:eastAsia="MS Mincho;ＭＳ 明朝"/>
        </w:rPr>
      </w:r>
    </w:p>
    <w:p>
      <w:pPr>
        <w:pStyle w:val="ListBullet2"/>
        <w:rPr/>
      </w:pPr>
      <w:r>
        <w:rPr>
          <w:rFonts w:eastAsia="MS Mincho;ＭＳ 明朝"/>
        </w:rPr>
        <w:t>(g)</w:t>
        <w:tab/>
        <w:t>“</w:t>
      </w:r>
      <w:r>
        <w:rPr>
          <w:rFonts w:eastAsia="MS Mincho;ＭＳ 明朝"/>
          <w:u w:val="single"/>
        </w:rPr>
        <w:t>Transaction</w:t>
      </w:r>
      <w:r>
        <w:rPr>
          <w:rFonts w:eastAsia="MS Mincho;ＭＳ 明朝"/>
        </w:rPr>
        <w:t xml:space="preserve">.”  Any transaction between the Parties pursuant to a Contract and relating to the sale, purchase or exchange of electric power. </w:t>
      </w:r>
    </w:p>
    <w:p>
      <w:pPr>
        <w:pStyle w:val="Normal"/>
        <w:rPr>
          <w:rFonts w:eastAsia="MS Mincho;ＭＳ 明朝"/>
        </w:rPr>
      </w:pPr>
      <w:r>
        <w:rPr>
          <w:rFonts w:eastAsia="MS Mincho;ＭＳ 明朝"/>
        </w:rPr>
      </w:r>
    </w:p>
    <w:p>
      <w:pPr>
        <w:pStyle w:val="PlainText"/>
        <w:rPr>
          <w:rFonts w:ascii="Times New Roman" w:hAnsi="Times New Roman" w:eastAsia="MS Mincho;ＭＳ 明朝" w:cs="Times New Roman"/>
        </w:rPr>
      </w:pPr>
      <w:r>
        <w:rPr>
          <w:rFonts w:eastAsia="MS Mincho;ＭＳ 明朝" w:cs="Times New Roman" w:ascii="Times New Roman" w:hAnsi="Times New Roman"/>
        </w:rPr>
        <w:t>All terms beginning with an initial capitalized letter but not otherwise defined herein shall have the meanings ascribed to such terms in the relevant underlying Contract.</w:t>
      </w:r>
    </w:p>
    <w:p>
      <w:pPr>
        <w:pStyle w:val="PlainText"/>
        <w:rPr>
          <w:rFonts w:ascii="Times New Roman" w:hAnsi="Times New Roman" w:eastAsia="MS Mincho;ＭＳ 明朝" w:cs="Times New Roman"/>
        </w:rPr>
      </w:pPr>
      <w:r>
        <w:rPr>
          <w:rFonts w:eastAsia="MS Mincho;ＭＳ 明朝" w:cs="Times New Roman" w:ascii="Times New Roman" w:hAnsi="Times New Roman"/>
        </w:rPr>
      </w:r>
    </w:p>
    <w:p>
      <w:pPr>
        <w:pStyle w:val="PlainText"/>
        <w:rPr>
          <w:rFonts w:eastAsia="MS Mincho;ＭＳ 明朝"/>
        </w:rPr>
      </w:pPr>
      <w:r>
        <w:rPr>
          <w:rFonts w:eastAsia="Times New Roman" w:cs="Times New Roman" w:ascii="Times New Roman" w:hAnsi="Times New Roman"/>
        </w:rPr>
        <w:t xml:space="preserve"> </w:t>
      </w:r>
    </w:p>
    <w:p>
      <w:pPr>
        <w:pStyle w:val="List"/>
        <w:rPr>
          <w:rFonts w:eastAsia="MS Mincho;ＭＳ 明朝"/>
        </w:rPr>
      </w:pPr>
      <w:r>
        <w:rPr>
          <w:rFonts w:eastAsia="MS Mincho;ＭＳ 明朝"/>
        </w:rPr>
        <w:t>2.</w:t>
        <w:tab/>
        <w:t xml:space="preserve">MONTHLY NETTING </w:t>
      </w:r>
    </w:p>
    <w:p>
      <w:pPr>
        <w:pStyle w:val="Normal"/>
        <w:rPr>
          <w:rFonts w:eastAsia="MS Mincho;ＭＳ 明朝"/>
        </w:rPr>
      </w:pPr>
      <w:r>
        <w:rPr>
          <w:rFonts w:eastAsia="MS Mincho;ＭＳ 明朝"/>
        </w:rPr>
      </w:r>
    </w:p>
    <w:p>
      <w:pPr>
        <w:pStyle w:val="PlainText"/>
        <w:ind w:start="144" w:end="0"/>
        <w:rPr>
          <w:rFonts w:ascii="Times New Roman" w:hAnsi="Times New Roman" w:eastAsia="MS Mincho;ＭＳ 明朝" w:cs="Times New Roman"/>
        </w:rPr>
      </w:pPr>
      <w:r>
        <w:rPr>
          <w:rFonts w:eastAsia="MS Mincho;ＭＳ 明朝" w:cs="Times New Roman" w:ascii="Times New Roman" w:hAnsi="Times New Roman"/>
        </w:rPr>
        <w:t xml:space="preserve">Effective as of the date of this Agreement, the Parties shall net monthly any payment obligations between them relating to the purchase and sale of electric power arising under or in connection with Transactions in any calendar month. The Parties shall adhere to the following procedure: </w:t>
      </w:r>
    </w:p>
    <w:p>
      <w:pPr>
        <w:pStyle w:val="PlainText"/>
        <w:ind w:start="144" w:end="0"/>
        <w:rPr>
          <w:rFonts w:ascii="Times New Roman" w:hAnsi="Times New Roman" w:eastAsia="MS Mincho;ＭＳ 明朝" w:cs="Times New Roman"/>
        </w:rPr>
      </w:pPr>
      <w:r>
        <w:rPr>
          <w:rFonts w:eastAsia="MS Mincho;ＭＳ 明朝" w:cs="Times New Roman" w:ascii="Times New Roman" w:hAnsi="Times New Roman"/>
        </w:rPr>
      </w:r>
    </w:p>
    <w:p>
      <w:pPr>
        <w:pStyle w:val="ListBullet2"/>
        <w:rPr>
          <w:rFonts w:eastAsia="MS Mincho;ＭＳ 明朝"/>
        </w:rPr>
      </w:pPr>
      <w:r>
        <w:rPr>
          <w:rFonts w:eastAsia="MS Mincho;ＭＳ 明朝"/>
        </w:rPr>
        <w:t>(a)</w:t>
        <w:tab/>
        <w:t>The Parties shall continue to issue invoices as provided in the Contracts. Prior to the Payment Date (as defined in Section 2(d) below), the Parties shall confer by telephone and shall compare and confirm invoice amounts owed by and/or to each other.  Unless otherwise agreed, the Party which is owed the greater amount (the “Creditor Party”) shall issue a net-out worksheet which details the Transactions between the Parties and sets forth the Net Receivable that is owed to the Creditor Party. If the amounts owed by each Party to the other are equal, neither Party shall be required to make payment. If the Contract calls for payment based upon the Seller’s best estimates, where actual amounts are not available, then the monthly Net Receivable shall be calculated based on such estimates, subject to later adjustment upon review of actual data.</w:t>
      </w:r>
    </w:p>
    <w:p>
      <w:pPr>
        <w:pStyle w:val="ListBullet2"/>
        <w:rPr>
          <w:rFonts w:eastAsia="MS Mincho;ＭＳ 明朝"/>
        </w:rPr>
      </w:pPr>
      <w:r>
        <w:rPr>
          <w:rFonts w:eastAsia="MS Mincho;ＭＳ 明朝"/>
        </w:rPr>
      </w:r>
    </w:p>
    <w:p>
      <w:pPr>
        <w:pStyle w:val="ListBullet2"/>
        <w:rPr>
          <w:rFonts w:eastAsia="MS Mincho;ＭＳ 明朝"/>
        </w:rPr>
      </w:pPr>
      <w:r>
        <w:rPr>
          <w:rFonts w:eastAsia="MS Mincho;ＭＳ 明朝"/>
        </w:rPr>
        <w:t>(b)</w:t>
        <w:tab/>
        <w:t xml:space="preserve">The Party that owes the Net Receivable (the “Debtor Party”) shall pay such amount on or before the Payment Date. For any amount that is due and owing to the Creditor Party which is not received by the Creditor Party by the Payment Date, the Debtor Party shall pay interest on such amount at the Interest Rate (as defined in Section 3(d)(i) below), from the Payment Date until the date paid. </w:t>
      </w:r>
    </w:p>
    <w:p>
      <w:pPr>
        <w:pStyle w:val="ListBullet2"/>
        <w:rPr>
          <w:rFonts w:eastAsia="MS Mincho;ＭＳ 明朝"/>
        </w:rPr>
      </w:pPr>
      <w:r>
        <w:rPr>
          <w:rFonts w:eastAsia="MS Mincho;ＭＳ 明朝"/>
        </w:rPr>
      </w:r>
    </w:p>
    <w:p>
      <w:pPr>
        <w:pStyle w:val="ListBullet2"/>
        <w:rPr>
          <w:rFonts w:eastAsia="MS Mincho;ＭＳ 明朝"/>
        </w:rPr>
      </w:pPr>
      <w:r>
        <w:rPr>
          <w:rFonts w:eastAsia="MS Mincho;ＭＳ 明朝"/>
        </w:rPr>
        <w:t>(c)</w:t>
        <w:tab/>
        <w:t xml:space="preserve">The Parties shall attempt to reconcile any disagreements as to items contained in any billing statement or invoice promptly and in a mutually agreeable manner. Notwithstanding the preceding sentence, neither Party may refuse to participate in the netting process under this Agreement due to a disputed billing statement or invoice. In the event of a disagreement over an amount owed, the Party disputing the amount shall nevertheless agree to the current payment of the undisputed amount pending resolution of the dispute and such undisputed amount shall be included in the monthly netting process. Any amounts paid as a result of resolving the dispute shall be paid with interest at the Interest Rate from the Payment Date until the date paid. </w:t>
      </w:r>
    </w:p>
    <w:p>
      <w:pPr>
        <w:pStyle w:val="ListBullet2"/>
        <w:rPr>
          <w:rFonts w:eastAsia="MS Mincho;ＭＳ 明朝"/>
        </w:rPr>
      </w:pPr>
      <w:r>
        <w:rPr>
          <w:rFonts w:eastAsia="MS Mincho;ＭＳ 明朝"/>
        </w:rPr>
      </w:r>
    </w:p>
    <w:p>
      <w:pPr>
        <w:pStyle w:val="ListBullet2"/>
        <w:numPr>
          <w:ilvl w:val="0"/>
          <w:numId w:val="1"/>
        </w:numPr>
        <w:rPr>
          <w:rFonts w:eastAsia="MS Mincho;ＭＳ 明朝"/>
        </w:rPr>
      </w:pPr>
      <w:r>
        <w:rPr>
          <w:rFonts w:eastAsia="MS Mincho;ＭＳ 明朝"/>
        </w:rPr>
        <w:t>“</w:t>
      </w:r>
      <w:r>
        <w:rPr>
          <w:rFonts w:eastAsia="MS Mincho;ＭＳ 明朝"/>
        </w:rPr>
        <w:t>Payment Date” shall mean: The first Business Day following the 19th day of the month following the month in which the relevant deliveries occurred (or, if such day is not a Business Day, the immediately following Business Day). For invoices received by the buyer after the 10</w:t>
      </w:r>
      <w:r>
        <w:rPr>
          <w:rFonts w:eastAsia="MS Mincho;ＭＳ 明朝"/>
          <w:vertAlign w:val="superscript"/>
        </w:rPr>
        <w:t>th</w:t>
      </w:r>
      <w:r>
        <w:rPr>
          <w:rFonts w:eastAsia="MS Mincho;ＭＳ 明朝"/>
        </w:rPr>
        <w:t xml:space="preserve"> day of such month, the Payment Date shall be ten (10) days after receipt of the invoice. </w:t>
      </w:r>
    </w:p>
    <w:p>
      <w:pPr>
        <w:pStyle w:val="Normal"/>
        <w:rPr>
          <w:rFonts w:eastAsia="MS Mincho;ＭＳ 明朝"/>
        </w:rPr>
      </w:pPr>
      <w:r>
        <w:rPr>
          <w:rFonts w:eastAsia="MS Mincho;ＭＳ 明朝"/>
        </w:rPr>
      </w:r>
    </w:p>
    <w:p>
      <w:pPr>
        <w:pStyle w:val="ListBullet3"/>
        <w:rPr>
          <w:rFonts w:eastAsia="MS Mincho;ＭＳ 明朝"/>
        </w:rPr>
      </w:pPr>
      <w:r>
        <w:rPr>
          <w:rFonts w:eastAsia="MS Mincho;ＭＳ 明朝"/>
        </w:rPr>
        <w:t>(1)</w:t>
        <w:tab/>
        <w:t xml:space="preserve">For wire transfer payments to Southern Company Services, Inc.: </w:t>
      </w:r>
    </w:p>
    <w:p>
      <w:pPr>
        <w:pStyle w:val="ListBullet4"/>
        <w:rPr>
          <w:rFonts w:eastAsia="MS Mincho;ＭＳ 明朝"/>
        </w:rPr>
      </w:pPr>
      <w:r>
        <w:rPr>
          <w:rFonts w:eastAsia="MS Mincho;ＭＳ 明朝"/>
        </w:rPr>
        <w:t xml:space="preserve">Bank of America </w:t>
      </w:r>
    </w:p>
    <w:p>
      <w:pPr>
        <w:pStyle w:val="ListBullet4"/>
        <w:rPr>
          <w:rFonts w:eastAsia="MS Mincho;ＭＳ 明朝"/>
        </w:rPr>
      </w:pPr>
      <w:r>
        <w:rPr>
          <w:rFonts w:eastAsia="MS Mincho;ＭＳ 明朝"/>
        </w:rPr>
        <w:t xml:space="preserve">ABA Number 11 10000 12 </w:t>
      </w:r>
    </w:p>
    <w:p>
      <w:pPr>
        <w:pStyle w:val="ListBullet4"/>
        <w:rPr>
          <w:rFonts w:eastAsia="MS Mincho;ＭＳ 明朝"/>
        </w:rPr>
      </w:pPr>
      <w:r>
        <w:rPr>
          <w:rFonts w:eastAsia="MS Mincho;ＭＳ 明朝"/>
        </w:rPr>
        <w:t xml:space="preserve">For Credit to: GEM - Energy Trading </w:t>
      </w:r>
    </w:p>
    <w:p>
      <w:pPr>
        <w:pStyle w:val="ListBullet4"/>
        <w:rPr>
          <w:rFonts w:eastAsia="MS Mincho;ＭＳ 明朝"/>
        </w:rPr>
      </w:pPr>
      <w:r>
        <w:rPr>
          <w:rFonts w:eastAsia="MS Mincho;ＭＳ 明朝"/>
        </w:rPr>
        <w:t xml:space="preserve">Account No.: 3751237789 </w:t>
      </w:r>
    </w:p>
    <w:p>
      <w:pPr>
        <w:pStyle w:val="Normal"/>
        <w:rPr>
          <w:rFonts w:eastAsia="MS Mincho;ＭＳ 明朝"/>
        </w:rPr>
      </w:pPr>
      <w:r>
        <w:rPr>
          <w:rFonts w:eastAsia="MS Mincho;ＭＳ 明朝"/>
        </w:rPr>
      </w:r>
    </w:p>
    <w:p>
      <w:pPr>
        <w:pStyle w:val="ListBullet3"/>
        <w:rPr>
          <w:rFonts w:eastAsia="MS Mincho;ＭＳ 明朝"/>
        </w:rPr>
      </w:pPr>
      <w:r>
        <w:rPr>
          <w:rFonts w:eastAsia="MS Mincho;ＭＳ 明朝"/>
        </w:rPr>
        <w:t>(2)</w:t>
        <w:tab/>
        <w:t xml:space="preserve">For wire transfer payments to Enron Power Marketing, Inc.: </w:t>
      </w:r>
    </w:p>
    <w:p>
      <w:pPr>
        <w:pStyle w:val="Normal"/>
        <w:rPr>
          <w:rFonts w:eastAsia="MS Mincho;ＭＳ 明朝"/>
        </w:rPr>
      </w:pPr>
      <w:r>
        <w:rPr>
          <w:rFonts w:eastAsia="MS Mincho;ＭＳ 明朝"/>
        </w:rPr>
      </w:r>
    </w:p>
    <w:p>
      <w:pPr>
        <w:pStyle w:val="Normal"/>
        <w:ind w:start="720" w:end="0"/>
        <w:rPr>
          <w:rFonts w:eastAsia="MS Mincho;ＭＳ 明朝"/>
        </w:rPr>
      </w:pPr>
      <w:r>
        <w:rPr/>
        <w:t>Bank of America</w:t>
        <w:br/>
        <w:t>for: Enron Power Marketing, Inc.</w:t>
        <w:br/>
        <w:t>ABA Routing # 111000012</w:t>
        <w:br/>
        <w:t>ACCT #375 046 9312</w:t>
        <w:br/>
        <w:t>Confirmation:  Enron Power Marketing, Inc.</w:t>
        <w:br/>
        <w:tab/>
        <w:t xml:space="preserve">             Credit and Collections</w:t>
        <w:br/>
        <w:tab/>
        <w:t xml:space="preserve">              (713) 853-5667</w:t>
      </w:r>
    </w:p>
    <w:p>
      <w:pPr>
        <w:pStyle w:val="Normal"/>
        <w:rPr>
          <w:rFonts w:eastAsia="MS Mincho;ＭＳ 明朝"/>
        </w:rPr>
      </w:pPr>
      <w:r>
        <w:rPr>
          <w:rFonts w:eastAsia="MS Mincho;ＭＳ 明朝"/>
        </w:rPr>
      </w:r>
    </w:p>
    <w:p>
      <w:pPr>
        <w:pStyle w:val="List"/>
        <w:rPr>
          <w:rFonts w:eastAsia="MS Mincho;ＭＳ 明朝"/>
        </w:rPr>
      </w:pPr>
      <w:r>
        <w:rPr>
          <w:rFonts w:eastAsia="MS Mincho;ＭＳ 明朝"/>
        </w:rPr>
        <w:t>3.</w:t>
        <w:tab/>
        <w:t xml:space="preserve">CLOSE-OUT NETTING </w:t>
      </w:r>
    </w:p>
    <w:p>
      <w:pPr>
        <w:pStyle w:val="Normal"/>
        <w:rPr>
          <w:rFonts w:eastAsia="MS Mincho;ＭＳ 明朝"/>
        </w:rPr>
      </w:pPr>
      <w:r>
        <w:rPr>
          <w:rFonts w:eastAsia="MS Mincho;ＭＳ 明朝"/>
        </w:rPr>
      </w:r>
    </w:p>
    <w:p>
      <w:pPr>
        <w:pStyle w:val="ListBullet2"/>
        <w:rPr>
          <w:rFonts w:eastAsia="MS Mincho;ＭＳ 明朝"/>
        </w:rPr>
      </w:pPr>
      <w:r>
        <w:rPr>
          <w:rFonts w:eastAsia="MS Mincho;ＭＳ 明朝"/>
        </w:rPr>
        <w:t>(a)</w:t>
        <w:tab/>
        <w:t xml:space="preserve">Notwithstanding anything in the Contracts or any other agreement between the Parties to the contrary, and without limiting any other rights that may be available to the Non-Defaulting Party (as hereinafter defined), if a Party (the “Defaulting Party”): </w:t>
      </w:r>
    </w:p>
    <w:p>
      <w:pPr>
        <w:pStyle w:val="Normal"/>
        <w:rPr>
          <w:rFonts w:eastAsia="MS Mincho;ＭＳ 明朝"/>
        </w:rPr>
      </w:pPr>
      <w:r>
        <w:rPr>
          <w:rFonts w:eastAsia="MS Mincho;ＭＳ 明朝"/>
        </w:rPr>
      </w:r>
    </w:p>
    <w:p>
      <w:pPr>
        <w:pStyle w:val="ListBullet3"/>
        <w:rPr>
          <w:rFonts w:eastAsia="MS Mincho;ＭＳ 明朝"/>
        </w:rPr>
      </w:pPr>
      <w:r>
        <w:rPr>
          <w:rFonts w:eastAsia="MS Mincho;ＭＳ 明朝"/>
        </w:rPr>
        <w:t>i)</w:t>
        <w:tab/>
        <w:t xml:space="preserve">is the subject of a bankruptcy, insolvency, or similar proceeding; </w:t>
      </w:r>
    </w:p>
    <w:p>
      <w:pPr>
        <w:pStyle w:val="ListBullet3"/>
        <w:rPr>
          <w:rFonts w:eastAsia="MS Mincho;ＭＳ 明朝"/>
        </w:rPr>
      </w:pPr>
      <w:r>
        <w:rPr>
          <w:rFonts w:eastAsia="MS Mincho;ＭＳ 明朝"/>
        </w:rPr>
      </w:r>
    </w:p>
    <w:p>
      <w:pPr>
        <w:pStyle w:val="ListBullet3"/>
        <w:rPr>
          <w:rFonts w:eastAsia="MS Mincho;ＭＳ 明朝"/>
        </w:rPr>
      </w:pPr>
      <w:r>
        <w:rPr>
          <w:rFonts w:eastAsia="MS Mincho;ＭＳ 明朝"/>
        </w:rPr>
        <w:t>ii)</w:t>
        <w:tab/>
        <w:t xml:space="preserve">fails to pay its debts generally as they become due; </w:t>
      </w:r>
    </w:p>
    <w:p>
      <w:pPr>
        <w:pStyle w:val="ListBullet3"/>
        <w:rPr>
          <w:rFonts w:eastAsia="MS Mincho;ＭＳ 明朝"/>
        </w:rPr>
      </w:pPr>
      <w:r>
        <w:rPr>
          <w:rFonts w:eastAsia="MS Mincho;ＭＳ 明朝"/>
        </w:rPr>
      </w:r>
    </w:p>
    <w:p>
      <w:pPr>
        <w:pStyle w:val="ListBullet3"/>
        <w:rPr>
          <w:rFonts w:eastAsia="MS Mincho;ＭＳ 明朝"/>
        </w:rPr>
      </w:pPr>
      <w:r>
        <w:rPr>
          <w:rFonts w:eastAsia="MS Mincho;ＭＳ 明朝"/>
        </w:rPr>
        <w:t>iii)</w:t>
        <w:tab/>
        <w:t xml:space="preserve">makes a general assignment for the benefit of its creditors; </w:t>
      </w:r>
    </w:p>
    <w:p>
      <w:pPr>
        <w:pStyle w:val="ListBullet3"/>
        <w:rPr>
          <w:rFonts w:eastAsia="MS Mincho;ＭＳ 明朝"/>
        </w:rPr>
      </w:pPr>
      <w:r>
        <w:rPr>
          <w:rFonts w:eastAsia="MS Mincho;ＭＳ 明朝"/>
        </w:rPr>
      </w:r>
    </w:p>
    <w:p>
      <w:pPr>
        <w:pStyle w:val="ListBullet3"/>
        <w:rPr>
          <w:rFonts w:eastAsia="MS Mincho;ＭＳ 明朝"/>
        </w:rPr>
      </w:pPr>
      <w:r>
        <w:rPr>
          <w:rFonts w:eastAsia="MS Mincho;ＭＳ 明朝"/>
        </w:rPr>
        <w:t>iv)</w:t>
        <w:tab/>
        <w:t>applies for, seeks, consents to, or acquiesces in the appointment of a receiver, custodian, trustee, liquidator, or similar official for all or a substantial portion of its assets; or</w:t>
      </w:r>
    </w:p>
    <w:p>
      <w:pPr>
        <w:pStyle w:val="ListBullet3"/>
        <w:rPr>
          <w:rFonts w:eastAsia="MS Mincho;ＭＳ 明朝"/>
        </w:rPr>
      </w:pPr>
      <w:r>
        <w:rPr>
          <w:rFonts w:eastAsia="Times New Roman"/>
        </w:rPr>
        <w:t xml:space="preserve"> </w:t>
      </w:r>
    </w:p>
    <w:p>
      <w:pPr>
        <w:pStyle w:val="ListBullet3"/>
        <w:rPr>
          <w:rFonts w:eastAsia="MS Mincho;ＭＳ 明朝"/>
        </w:rPr>
      </w:pPr>
      <w:r>
        <w:rPr>
          <w:rFonts w:eastAsia="MS Mincho;ＭＳ 明朝"/>
        </w:rPr>
        <w:t>v)</w:t>
        <w:tab/>
        <w:t xml:space="preserve">fails to pay or perform when due, any obligations to the other Party (“Non-Defaulting Party”) as required under the Contracts and such nonpayment or nonperformance continues for a period of three (3) Business Days after written notice is received from the Non-Defaulting Party; </w:t>
      </w:r>
    </w:p>
    <w:p>
      <w:pPr>
        <w:pStyle w:val="ListBullet3"/>
        <w:rPr>
          <w:rFonts w:eastAsia="MS Mincho;ＭＳ 明朝"/>
        </w:rPr>
      </w:pPr>
      <w:r>
        <w:rPr>
          <w:rFonts w:eastAsia="Times New Roman"/>
        </w:rPr>
        <w:t xml:space="preserve"> </w:t>
      </w:r>
    </w:p>
    <w:p>
      <w:pPr>
        <w:pStyle w:val="ListBullet3"/>
        <w:rPr>
          <w:rFonts w:eastAsia="MS Mincho;ＭＳ 明朝"/>
        </w:rPr>
      </w:pPr>
      <w:r>
        <w:rPr>
          <w:rFonts w:eastAsia="MS Mincho;ＭＳ 明朝"/>
        </w:rPr>
      </w:r>
    </w:p>
    <w:p>
      <w:pPr>
        <w:pStyle w:val="Normal"/>
        <w:rPr>
          <w:rFonts w:eastAsia="MS Mincho;ＭＳ 明朝"/>
        </w:rPr>
      </w:pPr>
      <w:r>
        <w:rPr>
          <w:rFonts w:eastAsia="MS Mincho;ＭＳ 明朝"/>
        </w:rPr>
      </w:r>
    </w:p>
    <w:p>
      <w:pPr>
        <w:pStyle w:val="PlainText"/>
        <w:rPr>
          <w:rFonts w:ascii="Times New Roman" w:hAnsi="Times New Roman" w:eastAsia="MS Mincho;ＭＳ 明朝" w:cs="Times New Roman"/>
        </w:rPr>
      </w:pPr>
      <w:r>
        <w:rPr>
          <w:rFonts w:eastAsia="MS Mincho;ＭＳ 明朝" w:cs="Times New Roman" w:ascii="Times New Roman" w:hAnsi="Times New Roman"/>
        </w:rPr>
        <w:t>then the Non-Defaulting Party shall have the right, exercisable in its sole discretion, to (1) suspend performance; (2) withhold any payments due to the Defaulting Party; and/or (3) liquidate and terminate all Transactions entered into under the Contracts.</w:t>
      </w:r>
    </w:p>
    <w:p>
      <w:pPr>
        <w:pStyle w:val="PlainText"/>
        <w:rPr>
          <w:rFonts w:eastAsia="MS Mincho;ＭＳ 明朝"/>
        </w:rPr>
      </w:pPr>
      <w:r>
        <w:rPr>
          <w:rFonts w:eastAsia="Times New Roman" w:cs="Times New Roman" w:ascii="Times New Roman" w:hAnsi="Times New Roman"/>
        </w:rPr>
        <w:t xml:space="preserve"> </w:t>
      </w:r>
    </w:p>
    <w:p>
      <w:pPr>
        <w:pStyle w:val="ListBullet2"/>
        <w:rPr>
          <w:rFonts w:eastAsia="MS Mincho;ＭＳ 明朝"/>
        </w:rPr>
      </w:pPr>
      <w:r>
        <w:rPr>
          <w:rFonts w:eastAsia="MS Mincho;ＭＳ 明朝"/>
        </w:rPr>
        <w:t>(b)</w:t>
        <w:tab/>
        <w:t xml:space="preserve">In the event the Non-Defaulting Party elects to liquidate and terminate all of the Transactions under the Contracts, the Non-Defaulting Party shall, upon prior written notice to the Defaulting Party, designate a date (which date shall be a day no earlier than the day such notice is effective and no more than twenty (20) Business Days after the Non-Defaulting Party delivers notice) (the “Early Termination Date”) on which Transactions shall be liquidated and terminated (the “Terminated Transactions”).. </w:t>
      </w:r>
    </w:p>
    <w:p>
      <w:pPr>
        <w:pStyle w:val="Normal"/>
        <w:rPr>
          <w:rFonts w:eastAsia="MS Mincho;ＭＳ 明朝"/>
        </w:rPr>
      </w:pPr>
      <w:r>
        <w:rPr>
          <w:rFonts w:eastAsia="MS Mincho;ＭＳ 明朝"/>
        </w:rPr>
      </w:r>
    </w:p>
    <w:p>
      <w:pPr>
        <w:pStyle w:val="PlainText"/>
        <w:ind w:start="720" w:end="0"/>
        <w:rPr>
          <w:rFonts w:ascii="Times New Roman" w:hAnsi="Times New Roman" w:eastAsia="MS Mincho;ＭＳ 明朝" w:cs="Times New Roman"/>
        </w:rPr>
      </w:pPr>
      <w:r>
        <w:rPr>
          <w:rFonts w:eastAsia="MS Mincho;ＭＳ 明朝" w:cs="Times New Roman" w:ascii="Times New Roman" w:hAnsi="Times New Roman"/>
        </w:rPr>
        <w:t xml:space="preserve">If an Early Termination Date has been designated, the Non-Defaulting Party shall in good faith and in a commercially reasonable manner, calculate its Gains, Losses, and Costs resulting from the occurrence of the Early Termination Date. The Gains, Losses and Costs shall be determined by comparing the value of the remaining term, contract quantities and contract prices in respect of the Terminated Transactions as if such Transactions had not been terminated to the equivalent quantities and relevant market prices for the remaining term either as quoted in a bona fide offer from a third party or which are reasonably expected to be available in the market under a replacement contract in respect of the Terminated Transactions. To ascertain the market prices of a replacement contract, the Non-Defaulting Party may consider, among other valuations, any or all of the settlement prices of relevant exchange-traded futures contracts, quotations from leading dealers in the relevant Contract market and other bona fide third party offers, all adjusted for the length of the remaining term and differences in product quality or firmness.  It is expressly agreed that the Non-Defaulting Party shall have a duty to mitigate and shall not be required to enter into replacement contracts in order to determine or collect the full Settlement Amount (as defined below). Any extensions of the term of the Transaction that are not binding on the Parties as of the Early Termination Date (including, but not limited to, “evergreen” provisions and options to extend) shall not be considered in determining Losses or Gains from the termination thereof.  The Non-Defaulting Party shall aggregate such Gains, Losses and Costs with respect to all Transactions into a single net amount (the “Settlement Amount”) and notify the Defaulting Party thereof, and: </w:t>
      </w:r>
    </w:p>
    <w:p>
      <w:pPr>
        <w:pStyle w:val="PlainText"/>
        <w:rPr>
          <w:rFonts w:ascii="Times New Roman" w:hAnsi="Times New Roman" w:eastAsia="MS Mincho;ＭＳ 明朝" w:cs="Times New Roman"/>
        </w:rPr>
      </w:pPr>
      <w:r>
        <w:rPr>
          <w:rFonts w:eastAsia="MS Mincho;ＭＳ 明朝" w:cs="Times New Roman" w:ascii="Times New Roman" w:hAnsi="Times New Roman"/>
        </w:rPr>
      </w:r>
    </w:p>
    <w:p>
      <w:pPr>
        <w:pStyle w:val="ListBullet3"/>
        <w:ind w:start="1440" w:end="0"/>
        <w:rPr>
          <w:rFonts w:eastAsia="MS Mincho;ＭＳ 明朝"/>
        </w:rPr>
      </w:pPr>
      <w:r>
        <w:rPr>
          <w:rFonts w:eastAsia="MS Mincho;ＭＳ 明朝"/>
        </w:rPr>
        <w:t>(1)</w:t>
        <w:tab/>
        <w:t xml:space="preserve">If the Non-Defaulting Party’s aggregate Losses and Costs exceed its aggregate Gains, the Defaulting Party shall, within five (5) Business Days of receipt of such notice, pay to the Non-Defaulting Party an amount equal to the Settlement Amount, plus (i) any Unpaid Amounts owing to the Non-Defaulting Party, which amount shall bear interest at the Interest Rate from the Early Termination Date until paid less (ii) any Unpaid Amounts owing to the Defaulting Party; or </w:t>
      </w:r>
    </w:p>
    <w:p>
      <w:pPr>
        <w:pStyle w:val="ListBullet3"/>
        <w:ind w:start="1440" w:end="0"/>
        <w:rPr>
          <w:rFonts w:eastAsia="MS Mincho;ＭＳ 明朝"/>
        </w:rPr>
      </w:pPr>
      <w:r>
        <w:rPr>
          <w:rFonts w:eastAsia="MS Mincho;ＭＳ 明朝"/>
        </w:rPr>
      </w:r>
    </w:p>
    <w:p>
      <w:pPr>
        <w:pStyle w:val="ListBullet3"/>
        <w:ind w:start="1440" w:end="0"/>
        <w:rPr>
          <w:rFonts w:eastAsia="MS Mincho;ＭＳ 明朝"/>
        </w:rPr>
      </w:pPr>
      <w:r>
        <w:rPr>
          <w:rFonts w:eastAsia="MS Mincho;ＭＳ 明朝"/>
        </w:rPr>
        <w:t>(2)</w:t>
        <w:tab/>
        <w:t xml:space="preserve">If the Non-Defaulting Party’s aggregate Gains exceed its aggregate Losses and Costs, if any, resulting from termination of the Transactions, the Non-Defaulting Party shall pay to the Defaulting Party an amount equal to the Settlement Amount, less (i) Unpaid Amounts owing to the Non-Defaulting Party, and plus (ii) any Unpaid Amounts owing to the Defaulting Party. </w:t>
      </w:r>
    </w:p>
    <w:p>
      <w:pPr>
        <w:pStyle w:val="Normal"/>
        <w:rPr>
          <w:rFonts w:eastAsia="MS Mincho;ＭＳ 明朝"/>
        </w:rPr>
      </w:pPr>
      <w:r>
        <w:rPr>
          <w:rFonts w:eastAsia="MS Mincho;ＭＳ 明朝"/>
        </w:rPr>
      </w:r>
    </w:p>
    <w:p>
      <w:pPr>
        <w:pStyle w:val="ListBullet2"/>
        <w:rPr>
          <w:rFonts w:eastAsia="MS Mincho;ＭＳ 明朝"/>
        </w:rPr>
      </w:pPr>
      <w:r>
        <w:rPr>
          <w:rFonts w:eastAsia="MS Mincho;ＭＳ 明朝"/>
        </w:rPr>
        <w:t>(c)</w:t>
        <w:tab/>
        <w:t xml:space="preserve">If the Defaulting Party disputes the Non-Defaulting Party’s calculation of the Settlement Amount, in whole or in part, the Defaulting Party shall promptly pay such portion thereof that is conceded to be correct and, within two (2) Business Days of receiving Non-Defaulting Party’s notice of the Settlement Amount, shall provide to the Non-Defaulting Party a detailed written explanation of the basis for such dispute. Any amounts paid as a result of resolving the dispute shall be paid with interest at the Interest Rate from the Early Termination Date until the date paid. </w:t>
      </w:r>
    </w:p>
    <w:p>
      <w:pPr>
        <w:pStyle w:val="ListBullet2"/>
        <w:rPr>
          <w:rFonts w:eastAsia="MS Mincho;ＭＳ 明朝"/>
        </w:rPr>
      </w:pPr>
      <w:r>
        <w:rPr>
          <w:rFonts w:eastAsia="MS Mincho;ＭＳ 明朝"/>
        </w:rPr>
      </w:r>
    </w:p>
    <w:p>
      <w:pPr>
        <w:pStyle w:val="ListBullet2"/>
        <w:rPr>
          <w:rFonts w:eastAsia="MS Mincho;ＭＳ 明朝"/>
        </w:rPr>
      </w:pPr>
      <w:r>
        <w:rPr>
          <w:rFonts w:eastAsia="MS Mincho;ＭＳ 明朝"/>
        </w:rPr>
        <w:t>(d)</w:t>
        <w:tab/>
        <w:t xml:space="preserve">As used in this Agreement with respect to each Party (i) “Interest Rate” shall mean the lower of the then effective prime rate published under “Money Rates” by the Wall Street Journal plus two (2) percent per annum or the maximum applicable lawful interest rate; (ii) “Costs” shall mean brokerage fees, commissions, and other similar third party transaction costs and expenses reasonably incurred by the Non-Defaulting Party either in terminating any arrangement by which it has hedged its obligations pursuant to a terminated Transaction or in entering into new arrangements which replace a terminated Transaction, and reasonable attorneys’ fees and related costs, if any, incurred in connection with enforcing its rights hereunder; (iii) “Gains” shall mean an amount equal to the present value of the economic benefit (exclusive of Costs) if any, to the Non-Defaulting Party resulting from the termination of a Transaction determined in a commercially reasonable manner as of the Early Termination Date; (iv) “Losses” shall mean an amount equal to the present value of the economic loss (exclusive of Costs), if any, to the Non-Defaulting Party resulting from the termination of a Transaction determined in a commercially reasonable manner as of the Early Termination Date; and (v) “Unpaid Amounts” shall mean any other amounts that become payable (or that would have become payable on or before the Early Termination Date) to a Party under the terms of this Agreement or in respect of any Transaction and which remain unpaid as of such Early Termination Date. </w:t>
      </w:r>
    </w:p>
    <w:p>
      <w:pPr>
        <w:pStyle w:val="ListBullet2"/>
        <w:rPr>
          <w:rFonts w:eastAsia="MS Mincho;ＭＳ 明朝"/>
        </w:rPr>
      </w:pPr>
      <w:r>
        <w:rPr>
          <w:rFonts w:eastAsia="MS Mincho;ＭＳ 明朝"/>
        </w:rPr>
      </w:r>
    </w:p>
    <w:p>
      <w:pPr>
        <w:pStyle w:val="ListBullet2"/>
        <w:rPr>
          <w:rFonts w:eastAsia="MS Mincho;ＭＳ 明朝"/>
        </w:rPr>
      </w:pPr>
      <w:r>
        <w:rPr>
          <w:rFonts w:eastAsia="MS Mincho;ＭＳ 明朝"/>
        </w:rPr>
        <w:t>(e)</w:t>
        <w:tab/>
        <w:t xml:space="preserve">If a Settlement Amount is payable by the Non-Defaulting party to the Defaulting Party under subsection 3b above, then, at the option of such Non-Defaulting Party, and without prior notice to the Defaulting Party, such Settlement Amount may be reduced by its set-off against any amount(s) (the “Other Agreement Amount”) payable by the Defaulting Party or any of its Affiliates to the Non-Defaulting Party or any of its Affiliates under or in connection with any other agreements, instrument(s) or undertakings between the Defaulting Party or any of its Affiliates and the Non-Defaulting Party or any of its Affiliates (and the Other Agreement Amount will be discharged promptly and in all respects to the extent it is so set-off).  If the Non-Defaulting Party exercises such option, it shall give notice to the Defaulting Party of any set-off effected under this subsection. If an obligation that is due and owing as of the Early Termination Date is unascertainable, the Non-Defaulting Party may in good faith estimate that obligation and set-off in respect of that estimate, subject to such Non-Defaulting Party accounting to the Defaulting Party when the obligation is ascertained. This subsection shall be without prejudice and in addition to any right of set-off, combination or accounts, counterclaim, lien or other right to which any Party is at any time otherwise entitled (whether by operation of law, contract or otherwise).  If the Defaulting Party has tendered, executed or posted any form of collateral, guarantee or payment or other financial assurance in connection with a Contract or Transaction, then a Settlement Amount payable hereunder shall constitute an obligation guarantied there under. </w:t>
      </w:r>
    </w:p>
    <w:p>
      <w:pPr>
        <w:pStyle w:val="ListBullet2"/>
        <w:rPr>
          <w:rFonts w:eastAsia="MS Mincho;ＭＳ 明朝"/>
        </w:rPr>
      </w:pPr>
      <w:r>
        <w:rPr>
          <w:rFonts w:eastAsia="MS Mincho;ＭＳ 明朝"/>
        </w:rPr>
      </w:r>
    </w:p>
    <w:p>
      <w:pPr>
        <w:pStyle w:val="List"/>
        <w:tabs>
          <w:tab w:val="clear" w:pos="720"/>
          <w:tab w:val="left" w:pos="360" w:leader="none"/>
        </w:tabs>
        <w:rPr>
          <w:rFonts w:eastAsia="MS Mincho;ＭＳ 明朝"/>
        </w:rPr>
      </w:pPr>
      <w:r>
        <w:rPr>
          <w:rFonts w:eastAsia="MS Mincho;ＭＳ 明朝"/>
        </w:rPr>
        <w:t>4.</w:t>
        <w:tab/>
      </w:r>
      <w:r>
        <w:rPr/>
        <w:t>As security for the prompt and complete payment and performance of all obligations of EPMI to make payments to SOCO under the Contracts, EPMI hereby pledges, assigns, conveys, and transfers to SOCO, and hereby grants to SOCO a present and continuing first priority security interest in and to, and a general first lien upon and right of setoff against all right, title, and interest EPMI has in any obligations of SOCO to make payments to EPMI under the Contracts, together with all contract rights in respect of such obligations, other than any Settlement Amount payable by SOCO to EPMI.  As security for the prompt and complete payment and performance of all obligations of SOCO to make payments to EPMI under the Contracts, SOCO hereby pledges, assigns, conveys, and transfers to EPMI, and hereby grants to EPMI a present and continuing first priority security interest in and to, and a general first lien upon and right of setoff against all right, title, and interest SOCO has in any obligations of EPMI to make payments to SOCO under the Contracts, together with all contract rights in respect of such obligations, other than any Settlement Amount payable by EPMI to SOCO.  Each Party agrees to take such action as the other Party reasonably requests in order to perfect such other Party's continuing security interest in, lien on, and right of setoff against the foregoing interests and grants authority to the other Party to file financing statements or take such other actions necessary to perfect the foregoing interests.</w:t>
      </w:r>
    </w:p>
    <w:p>
      <w:pPr>
        <w:pStyle w:val="List"/>
        <w:rPr>
          <w:rFonts w:eastAsia="MS Mincho;ＭＳ 明朝"/>
        </w:rPr>
      </w:pPr>
      <w:r>
        <w:rPr>
          <w:rFonts w:eastAsia="MS Mincho;ＭＳ 明朝"/>
        </w:rPr>
      </w:r>
    </w:p>
    <w:p>
      <w:pPr>
        <w:pStyle w:val="List"/>
        <w:rPr>
          <w:rFonts w:eastAsia="MS Mincho;ＭＳ 明朝"/>
        </w:rPr>
      </w:pPr>
      <w:r>
        <w:rPr>
          <w:rFonts w:eastAsia="MS Mincho;ＭＳ 明朝"/>
        </w:rPr>
        <w:t>5.</w:t>
        <w:tab/>
        <w:t xml:space="preserve">The Non-Defaulting Party’s rights under this Agreement are in addition to and not in limitation or exclusion of any other rights the Non-Defaulting Party may have (whether by contract, operation of law or otherwise). Each Party reserves to itself all rights, remedies, counterclaims, and defenses which it is or may be entitled to arising from or out of the Transactions, at law or otherwise. </w:t>
      </w:r>
    </w:p>
    <w:p>
      <w:pPr>
        <w:pStyle w:val="List"/>
        <w:rPr>
          <w:rFonts w:eastAsia="MS Mincho;ＭＳ 明朝"/>
        </w:rPr>
      </w:pPr>
      <w:r>
        <w:rPr>
          <w:rFonts w:eastAsia="MS Mincho;ＭＳ 明朝"/>
        </w:rPr>
      </w:r>
    </w:p>
    <w:p>
      <w:pPr>
        <w:pStyle w:val="List"/>
        <w:numPr>
          <w:ilvl w:val="0"/>
          <w:numId w:val="3"/>
        </w:numPr>
        <w:tabs>
          <w:tab w:val="clear" w:pos="720"/>
          <w:tab w:val="left" w:pos="360" w:leader="none"/>
        </w:tabs>
        <w:ind w:hanging="360" w:start="360" w:end="0"/>
        <w:rPr>
          <w:rFonts w:eastAsia="MS Mincho;ＭＳ 明朝"/>
        </w:rPr>
      </w:pPr>
      <w:r>
        <w:rPr>
          <w:rFonts w:eastAsia="MS Mincho;ＭＳ 明朝"/>
        </w:rPr>
        <w:t xml:space="preserve">The monthly netting and close-out netting mechanisms herein described shall apply to Contracts (as that term is herein defined). The Parties agree that a Contract as defined in this Agreement shall constitute a “forward contract” within the meaning of the United States Bankruptcy Code. Purely financial agreements between the Parties, including swaps and exchange traded derivatives, such as NYMEX futures and options on futures, and deliveries for which NYMEX matches the parties, shall not be subject to this Agreement. </w:t>
      </w:r>
    </w:p>
    <w:p>
      <w:pPr>
        <w:pStyle w:val="Normal"/>
        <w:autoSpaceDE w:val="false"/>
        <w:spacing w:lineRule="atLeast" w:line="240"/>
        <w:rPr>
          <w:rFonts w:ascii="Courier" w:hAnsi="Courier" w:eastAsia="MS Mincho;ＭＳ 明朝" w:cs="Courier"/>
          <w:color w:val="000000"/>
        </w:rPr>
      </w:pPr>
      <w:r>
        <w:rPr>
          <w:rFonts w:eastAsia="MS Mincho;ＭＳ 明朝" w:cs="Courier" w:ascii="Courier" w:hAnsi="Courier"/>
          <w:color w:val="000000"/>
        </w:rPr>
      </w:r>
    </w:p>
    <w:p>
      <w:pPr>
        <w:pStyle w:val="List"/>
        <w:numPr>
          <w:ilvl w:val="0"/>
          <w:numId w:val="3"/>
        </w:numPr>
        <w:tabs>
          <w:tab w:val="clear" w:pos="720"/>
          <w:tab w:val="left" w:pos="360" w:leader="none"/>
        </w:tabs>
        <w:ind w:hanging="360" w:start="360" w:end="0"/>
        <w:rPr>
          <w:rFonts w:eastAsia="MS Mincho;ＭＳ 明朝"/>
        </w:rPr>
      </w:pPr>
      <w:r>
        <w:rPr>
          <w:color w:val="000000"/>
        </w:rPr>
        <w:t xml:space="preserve">EPMI is not a “transmitting utility" within the meaning of Section 9-102(a) of the Uniform Commercial Code.  Southern Company Services, Inc. is not a “transmitting utility" within the meaning of Section 9-102(a) of the Uniform Commercial Code.  Each of </w:t>
      </w:r>
      <w:r>
        <w:rPr>
          <w:rFonts w:eastAsia="MS Mincho;ＭＳ 明朝"/>
        </w:rPr>
        <w:t xml:space="preserve">Alabama Power Company, Georgia Power Company, Gulf Power Company, Mississippi Power Company, Savannah Electric and Power Company, and Southern Power Company is a </w:t>
      </w:r>
      <w:r>
        <w:rPr>
          <w:color w:val="000000"/>
        </w:rPr>
        <w:t>“transmitting utility" within the meaning of Section 9-102(a) of the Uniform Commercial Code.</w:t>
      </w:r>
      <w:r>
        <w:rPr>
          <w:rFonts w:eastAsia="MS Mincho;ＭＳ 明朝"/>
        </w:rPr>
        <w:t xml:space="preserve"> </w:t>
      </w:r>
    </w:p>
    <w:p>
      <w:pPr>
        <w:pStyle w:val="List"/>
        <w:rPr>
          <w:rFonts w:eastAsia="MS Mincho;ＭＳ 明朝"/>
        </w:rPr>
      </w:pPr>
      <w:r>
        <w:rPr>
          <w:rFonts w:eastAsia="Times New Roman"/>
        </w:rPr>
        <w:t xml:space="preserve"> </w:t>
      </w:r>
    </w:p>
    <w:p>
      <w:pPr>
        <w:pStyle w:val="List"/>
        <w:rPr>
          <w:rFonts w:eastAsia="MS Mincho;ＭＳ 明朝"/>
        </w:rPr>
      </w:pPr>
      <w:r>
        <w:rPr>
          <w:rFonts w:eastAsia="MS Mincho;ＭＳ 明朝"/>
        </w:rPr>
        <w:t>8.</w:t>
        <w:tab/>
        <w:t xml:space="preserve">This Agreement shall be effective as of the date first written above and shall continue in effect month-to-month thereafter. Either Party may, subject to any prior regulatory approval which may be required, terminate this Agreement by giving the other Party hereto at least thirty (30) days written notice. Notice may be given by (i) certified U.S. mail (ii) telex or telegram (iii) signed facsimile or (iv) hand delivery. Termination will be effective on the first day of the calendar month after expiration of the notice. Subject to any prior regulatory approval which may be required, such termination shall not apply to any invoices or payments due or outstanding prior to the month in which such termination occurs. </w:t>
      </w:r>
    </w:p>
    <w:p>
      <w:pPr>
        <w:pStyle w:val="List"/>
        <w:rPr>
          <w:rFonts w:eastAsia="MS Mincho;ＭＳ 明朝"/>
        </w:rPr>
      </w:pPr>
      <w:r>
        <w:rPr>
          <w:rFonts w:eastAsia="MS Mincho;ＭＳ 明朝"/>
        </w:rPr>
      </w:r>
    </w:p>
    <w:p>
      <w:pPr>
        <w:pStyle w:val="List"/>
        <w:rPr>
          <w:rFonts w:eastAsia="MS Mincho;ＭＳ 明朝"/>
        </w:rPr>
      </w:pPr>
      <w:r>
        <w:rPr>
          <w:rFonts w:eastAsia="MS Mincho;ＭＳ 明朝"/>
        </w:rPr>
        <w:t>9.</w:t>
        <w:tab/>
        <w:t xml:space="preserve">In the event either Party assigns or otherwise transfers the Contracts as provided for in such Contracts, this Agreement shall be binding upon the successors and assigns of the transferring Party. </w:t>
      </w:r>
    </w:p>
    <w:p>
      <w:pPr>
        <w:pStyle w:val="List"/>
        <w:rPr>
          <w:rFonts w:eastAsia="MS Mincho;ＭＳ 明朝"/>
        </w:rPr>
      </w:pPr>
      <w:r>
        <w:rPr>
          <w:rFonts w:eastAsia="MS Mincho;ＭＳ 明朝"/>
        </w:rPr>
      </w:r>
    </w:p>
    <w:p>
      <w:pPr>
        <w:pStyle w:val="List"/>
        <w:rPr>
          <w:rFonts w:eastAsia="MS Mincho;ＭＳ 明朝"/>
        </w:rPr>
      </w:pPr>
      <w:r>
        <w:rPr>
          <w:rFonts w:eastAsia="MS Mincho;ＭＳ 明朝"/>
        </w:rPr>
        <w:t>10.</w:t>
        <w:tab/>
        <w:t xml:space="preserve">This Agreement shall have the effect of amending the provisions of all Contracts between the Parties hereto relating to the manner and method of payment (but excluding any “financial responsibility” or “creditworthiness” provisions contained therein), except as otherwise agreed to by the Parties in writing. As herein amended, such existing Contracts shall remain in effect. Any future Contracts between the Parties shall also be subject to this Agreement unless otherwise agreed to by the Parties in a writing which references this Agreement. </w:t>
      </w:r>
    </w:p>
    <w:p>
      <w:pPr>
        <w:pStyle w:val="Normal"/>
        <w:rPr>
          <w:rFonts w:eastAsia="MS Mincho;ＭＳ 明朝"/>
        </w:rPr>
      </w:pPr>
      <w:r>
        <w:rPr>
          <w:rFonts w:eastAsia="MS Mincho;ＭＳ 明朝"/>
        </w:rPr>
      </w:r>
    </w:p>
    <w:p>
      <w:pPr>
        <w:pStyle w:val="List"/>
        <w:numPr>
          <w:ilvl w:val="0"/>
          <w:numId w:val="2"/>
        </w:numPr>
        <w:tabs>
          <w:tab w:val="clear" w:pos="720"/>
          <w:tab w:val="left" w:pos="360" w:leader="none"/>
        </w:tabs>
        <w:ind w:hanging="360" w:start="360" w:end="0"/>
        <w:rPr>
          <w:rFonts w:eastAsia="MS Mincho;ＭＳ 明朝"/>
        </w:rPr>
      </w:pPr>
      <w:r>
        <w:rPr>
          <w:rFonts w:eastAsia="MS Mincho;ＭＳ 明朝"/>
        </w:rPr>
        <w:t xml:space="preserve">This Agreement and the Parties’ respective rights and obligations hereunder shall be governed by and construed in accordance with the laws of the State of New York, excluding any conflict of laws rule which would apply the law of any other jurisdiction. </w:t>
      </w:r>
    </w:p>
    <w:p>
      <w:pPr>
        <w:pStyle w:val="List"/>
        <w:ind w:hanging="0" w:end="0"/>
        <w:rPr>
          <w:rFonts w:eastAsia="MS Mincho;ＭＳ 明朝"/>
        </w:rPr>
      </w:pPr>
      <w:r>
        <w:rPr>
          <w:rFonts w:eastAsia="MS Mincho;ＭＳ 明朝"/>
        </w:rPr>
      </w:r>
    </w:p>
    <w:p>
      <w:pPr>
        <w:pStyle w:val="List"/>
        <w:numPr>
          <w:ilvl w:val="0"/>
          <w:numId w:val="2"/>
        </w:numPr>
        <w:tabs>
          <w:tab w:val="clear" w:pos="720"/>
          <w:tab w:val="left" w:pos="360" w:leader="none"/>
        </w:tabs>
        <w:ind w:hanging="360" w:start="360" w:end="0"/>
        <w:rPr>
          <w:rFonts w:eastAsia="MS Mincho;ＭＳ 明朝"/>
        </w:rPr>
      </w:pPr>
      <w:r>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to the extent allowed by applicable law.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shall be held in a location mutually agreeable to the Parties.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List"/>
        <w:ind w:hanging="0" w:end="0"/>
        <w:rPr>
          <w:rFonts w:eastAsia="MS Mincho;ＭＳ 明朝"/>
        </w:rPr>
      </w:pPr>
      <w:r>
        <w:rPr>
          <w:rFonts w:eastAsia="MS Mincho;ＭＳ 明朝"/>
        </w:rPr>
      </w:r>
    </w:p>
    <w:p>
      <w:pPr>
        <w:pStyle w:val="List"/>
        <w:numPr>
          <w:ilvl w:val="0"/>
          <w:numId w:val="2"/>
        </w:numPr>
        <w:tabs>
          <w:tab w:val="clear" w:pos="720"/>
          <w:tab w:val="left" w:pos="360" w:leader="none"/>
        </w:tabs>
        <w:ind w:hanging="360" w:start="360" w:end="0"/>
        <w:rPr>
          <w:rFonts w:eastAsia="MS Mincho;ＭＳ 明朝"/>
        </w:rPr>
      </w:pPr>
      <w:r>
        <w:rPr/>
        <w:t>Neither Party shall disclose the terms or conditions of this Agreement or any Transaction under a Contract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List"/>
        <w:ind w:hanging="0" w:end="0"/>
        <w:jc w:val="center"/>
        <w:rPr>
          <w:rFonts w:eastAsia="MS Mincho;ＭＳ 明朝"/>
        </w:rPr>
      </w:pPr>
      <w:r>
        <w:rPr>
          <w:rFonts w:eastAsia="MS Mincho;ＭＳ 明朝"/>
        </w:rPr>
      </w:r>
    </w:p>
    <w:p>
      <w:pPr>
        <w:pStyle w:val="Header"/>
        <w:tabs>
          <w:tab w:val="clear" w:pos="4320"/>
          <w:tab w:val="clear" w:pos="8640"/>
        </w:tabs>
        <w:jc w:val="both"/>
        <w:rPr>
          <w:rFonts w:eastAsia="MS Mincho;ＭＳ 明朝"/>
        </w:rPr>
      </w:pPr>
      <w:r>
        <w:rPr>
          <w:rFonts w:eastAsia="MS Mincho;ＭＳ 明朝"/>
        </w:rPr>
        <w:t>[Rest of page intentionally blank]</w:t>
      </w:r>
      <w:r>
        <w:br w:type="page"/>
      </w:r>
    </w:p>
    <w:p>
      <w:pPr>
        <w:pStyle w:val="Header"/>
        <w:tabs>
          <w:tab w:val="clear" w:pos="4320"/>
          <w:tab w:val="clear" w:pos="8640"/>
        </w:tabs>
        <w:jc w:val="both"/>
        <w:rPr>
          <w:rFonts w:eastAsia="MS Mincho;ＭＳ 明朝"/>
        </w:rPr>
      </w:pPr>
      <w:r>
        <w:rPr>
          <w:rFonts w:eastAsia="MS Mincho;ＭＳ 明朝"/>
        </w:rPr>
        <w:t>In  Witness whereof, the parties have executed this netting and closeout agreement effective as of the agreement date.</w:t>
      </w:r>
    </w:p>
    <w:p>
      <w:pPr>
        <w:pStyle w:val="Header"/>
        <w:tabs>
          <w:tab w:val="clear" w:pos="4320"/>
          <w:tab w:val="clear" w:pos="8640"/>
        </w:tabs>
        <w:jc w:val="both"/>
        <w:rPr>
          <w:rFonts w:eastAsia="MS Mincho;ＭＳ 明朝"/>
        </w:rPr>
      </w:pPr>
      <w:r>
        <w:rPr>
          <w:rFonts w:eastAsia="MS Mincho;ＭＳ 明朝"/>
        </w:rPr>
      </w:r>
    </w:p>
    <w:p>
      <w:pPr>
        <w:pStyle w:val="Header"/>
        <w:tabs>
          <w:tab w:val="clear" w:pos="4320"/>
          <w:tab w:val="clear" w:pos="8640"/>
        </w:tabs>
        <w:ind w:hanging="5040" w:start="5040" w:end="0"/>
        <w:rPr>
          <w:rFonts w:eastAsia="MS Mincho;ＭＳ 明朝"/>
        </w:rPr>
      </w:pPr>
      <w:r>
        <w:rPr>
          <w:rFonts w:eastAsia="MS Mincho;ＭＳ 明朝"/>
        </w:rPr>
        <w:t>Enron Power Marketing, Inc.</w:t>
        <w:tab/>
        <w:t>Southern Company Services, Inc., as authorized agent for and on behalf of  Alabama Power Company, Georgia Power Company, Gulf Power Company, Mississippi Power Company, Savannah Electric and Power Company, and Southern Power Company</w:t>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t>By:_____________________________</w:t>
        <w:tab/>
        <w:tab/>
        <w:tab/>
        <w:t>By:_________________________________</w:t>
      </w:r>
    </w:p>
    <w:p>
      <w:pPr>
        <w:pStyle w:val="Header"/>
        <w:tabs>
          <w:tab w:val="clear" w:pos="4320"/>
          <w:tab w:val="clear" w:pos="8640"/>
        </w:tabs>
        <w:rPr>
          <w:rFonts w:eastAsia="MS Mincho;ＭＳ 明朝"/>
        </w:rPr>
      </w:pPr>
      <w:r>
        <w:rPr>
          <w:rFonts w:eastAsia="MS Mincho;ＭＳ 明朝"/>
        </w:rPr>
        <w:t>Name:__________________________</w:t>
        <w:tab/>
        <w:tab/>
        <w:tab/>
        <w:t>Name : William L. Marshall, Jr.</w:t>
      </w:r>
    </w:p>
    <w:p>
      <w:pPr>
        <w:pStyle w:val="Header"/>
        <w:tabs>
          <w:tab w:val="clear" w:pos="4320"/>
          <w:tab w:val="clear" w:pos="8640"/>
        </w:tabs>
        <w:rPr>
          <w:rFonts w:eastAsia="MS Mincho;ＭＳ 明朝"/>
        </w:rPr>
      </w:pPr>
      <w:r>
        <w:rPr>
          <w:rFonts w:eastAsia="MS Mincho;ＭＳ 明朝"/>
        </w:rPr>
        <w:t>Title:___________________________</w:t>
        <w:tab/>
        <w:tab/>
        <w:tab/>
        <w:t>Title: V.P.  - Fleet Operation &amp; Energy Trading</w:t>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t>Location of Chief Executive Office &amp; Organizational ID No.</w:t>
      </w:r>
    </w:p>
    <w:p>
      <w:pPr>
        <w:pStyle w:val="Header"/>
        <w:tabs>
          <w:tab w:val="clear" w:pos="4320"/>
          <w:tab w:val="clear" w:pos="8640"/>
        </w:tabs>
        <w:rPr>
          <w:rFonts w:eastAsia="MS Mincho;ＭＳ 明朝"/>
        </w:rPr>
      </w:pPr>
      <w:r>
        <w:rPr>
          <w:rFonts w:eastAsia="MS Mincho;ＭＳ 明朝"/>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rPr/>
      </w:pPr>
      <w:r>
        <w:rPr/>
        <w:t>Alabama Power Company: (Alabama) 63-0004250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rPr/>
      </w:pPr>
      <w:r>
        <w:rPr/>
        <w:t>Georgia Power Company: (Georgia) 58-0257110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rPr/>
      </w:pPr>
      <w:r>
        <w:rPr/>
        <w:t>Gulf Power Company: (Florida) 59-0276810</w:t>
      </w:r>
    </w:p>
    <w:p>
      <w:pPr>
        <w:pStyle w:val="Heade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rPr/>
      </w:pPr>
      <w:r>
        <w:rPr/>
        <w:t>Mississippi Power Company: (Mississippi) 64-0205820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rPr/>
      </w:pPr>
      <w:r>
        <w:rPr/>
        <w:t>Savannah Electric &amp; Power Company: (Georgia) 58-0418070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rPr/>
      </w:pPr>
      <w:r>
        <w:rPr/>
        <w:t>Southern Power Company: (Georgia) 58-2598670</w:t>
      </w:r>
    </w:p>
    <w:p>
      <w:pPr>
        <w:pStyle w:val="Header"/>
        <w:tabs>
          <w:tab w:val="clear" w:pos="4320"/>
          <w:tab w:val="clear" w:pos="8640"/>
        </w:tabs>
        <w:rPr>
          <w:rFonts w:eastAsia="MS Mincho;ＭＳ 明朝"/>
        </w:rPr>
      </w:pPr>
      <w:r>
        <w:rPr/>
        <w:t>Southern Company Services, Inc : (Georgia)  63-0274273</w:t>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rPr>
          <w:rFonts w:eastAsia="MS Mincho;ＭＳ 明朝"/>
        </w:rPr>
      </w:pPr>
      <w:r>
        <w:rPr>
          <w:rFonts w:eastAsia="MS Mincho;ＭＳ 明朝"/>
        </w:rPr>
      </w:r>
    </w:p>
    <w:p>
      <w:pPr>
        <w:pStyle w:val="Header"/>
        <w:tabs>
          <w:tab w:val="clear" w:pos="4320"/>
          <w:tab w:val="clear" w:pos="8640"/>
        </w:tabs>
        <w:ind w:firstLine="720" w:start="4320" w:end="0"/>
        <w:rPr>
          <w:rFonts w:eastAsia="MS Mincho;ＭＳ 明朝"/>
        </w:rPr>
      </w:pPr>
      <w:r>
        <w:rPr>
          <w:rFonts w:eastAsia="MS Mincho;ＭＳ 明朝"/>
        </w:rPr>
      </w:r>
    </w:p>
    <w:sectPr>
      <w:footerReference w:type="default" r:id="rId2"/>
      <w:type w:val="nextPage"/>
      <w:pgSz w:w="12240" w:h="15840"/>
      <w:pgMar w:left="1440" w:right="1440" w:gutter="144"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537585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lowerLetter"/>
      <w:lvlText w:val="(%1)"/>
      <w:lvlJc w:val="start"/>
      <w:pPr>
        <w:tabs>
          <w:tab w:val="num" w:pos="720"/>
        </w:tabs>
        <w:ind w:start="720" w:hanging="360"/>
      </w:pPr>
      <w:rPr/>
    </w:lvl>
  </w:abstractNum>
  <w:abstractNum w:abstractNumId="2">
    <w:lvl w:ilvl="0">
      <w:start w:val="11"/>
      <w:numFmt w:val="decimal"/>
      <w:lvlText w:val="%1."/>
      <w:lvlJc w:val="start"/>
      <w:pPr>
        <w:tabs>
          <w:tab w:val="num" w:pos="720"/>
        </w:tabs>
        <w:ind w:start="720" w:hanging="360"/>
      </w:pPr>
      <w:rPr/>
    </w:lvl>
  </w:abstractNum>
  <w:abstractNum w:abstractNumId="3">
    <w:lvl w:ilvl="0">
      <w:start w:val="6"/>
      <w:numFmt w:val="decimal"/>
      <w:lvlText w:val="%1."/>
      <w:lvlJc w:val="start"/>
      <w:pPr>
        <w:tabs>
          <w:tab w:val="num" w:pos="720"/>
        </w:tabs>
        <w:ind w:start="72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2001-11-27T15:12:00Z</dcterms:created>
  <dc:creator>SCGEM</dc:creator>
  <dc:description/>
  <dc:language>en-CA</dc:language>
  <cp:lastModifiedBy>leslie hansen</cp:lastModifiedBy>
  <cp:lastPrinted>2001-11-27T10:43:00Z</cp:lastPrinted>
  <dcterms:modified xsi:type="dcterms:W3CDTF">2001-11-27T15:12:00Z</dcterms:modified>
  <cp:revision>2</cp:revision>
  <dc:subject/>
  <dc:title>NETTING AND CLOSE-OUT AGREEMENT</dc:title>
</cp:coreProperties>
</file>