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png" ContentType="image/png"/>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1267460" cy="12680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67460" cy="1268095"/>
                    </a:xfrm>
                    <a:prstGeom prst="rect">
                      <a:avLst/>
                    </a:prstGeom>
                    <a:noFill/>
                  </pic:spPr>
                </pic:pic>
              </a:graphicData>
            </a:graphic>
          </wp:inline>
        </w:drawing>
      </w:r>
      <w:r>
        <w:rPr/>
        <w:tab/>
        <w:tab/>
        <w:tab/>
        <w:tab/>
        <w:tab/>
        <w:tab/>
        <w:tab/>
      </w:r>
      <w:r>
        <w:rPr/>
        <w:drawing>
          <wp:inline distT="0" distB="0" distL="0" distR="0">
            <wp:extent cx="1619250" cy="1019175"/>
            <wp:effectExtent l="0" t="0" r="0" b="0"/>
            <wp:docPr id="2" name="color1_underneat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1_underneath" descr="" title=""/>
                    <pic:cNvPicPr>
                      <a:picLocks noChangeAspect="1" noChangeArrowheads="1"/>
                    </pic:cNvPicPr>
                  </pic:nvPicPr>
                  <pic:blipFill>
                    <a:blip r:embed="rId3"/>
                    <a:srcRect l="-22" t="-35" r="-22" b="-35"/>
                    <a:stretch>
                      <a:fillRect/>
                    </a:stretch>
                  </pic:blipFill>
                  <pic:spPr bwMode="auto">
                    <a:xfrm>
                      <a:off x="0" y="0"/>
                      <a:ext cx="1619250" cy="1019175"/>
                    </a:xfrm>
                    <a:prstGeom prst="rect">
                      <a:avLst/>
                    </a:prstGeom>
                    <a:noFill/>
                  </pic:spPr>
                </pic:pic>
              </a:graphicData>
            </a:graphic>
          </wp:inline>
        </w:drawing>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er"/>
        <w:tabs>
          <w:tab w:val="clear" w:pos="4320"/>
          <w:tab w:val="clear" w:pos="8640"/>
          <w:tab w:val="left" w:pos="3349" w:leader="none"/>
        </w:tabs>
        <w:jc w:val="end"/>
        <w:rPr>
          <w:rFonts w:ascii="Arial" w:hAnsi="Arial" w:cs="Arial"/>
          <w:sz w:val="28"/>
        </w:rPr>
      </w:pPr>
      <w:r>
        <w:rPr>
          <w:rFonts w:cs="Arial" w:ascii="Arial" w:hAnsi="Arial"/>
          <w:sz w:val="28"/>
        </w:rPr>
      </w:r>
    </w:p>
    <w:p>
      <w:pPr>
        <w:pStyle w:val="Heading1"/>
        <w:ind w:hanging="0" w:start="0"/>
        <w:rPr>
          <w:rFonts w:ascii="Arial" w:hAnsi="Arial" w:cs="Arial"/>
          <w:b w:val="false"/>
          <w:bCs/>
          <w:sz w:val="28"/>
        </w:rPr>
      </w:pPr>
      <w:r>
        <w:rPr>
          <w:rFonts w:cs="Arial" w:ascii="Arial" w:hAnsi="Arial"/>
          <w:b w:val="false"/>
          <w:bCs/>
          <w:sz w:val="28"/>
        </w:rPr>
      </w:r>
    </w:p>
    <w:p>
      <w:pPr>
        <w:pStyle w:val="Normal"/>
        <w:jc w:val="center"/>
        <w:rPr>
          <w:b/>
          <w:bCs/>
          <w:color w:val="000080"/>
          <w:sz w:val="72"/>
        </w:rPr>
      </w:pPr>
      <w:r>
        <w:rPr>
          <w:b/>
          <w:bCs/>
          <w:color w:val="000080"/>
          <w:sz w:val="72"/>
        </w:rPr>
        <w:t>Enron Global Markets</w:t>
      </w:r>
    </w:p>
    <w:p>
      <w:pPr>
        <w:pStyle w:val="Normal"/>
        <w:jc w:val="center"/>
        <w:rPr>
          <w:b/>
          <w:bCs/>
          <w:color w:val="000080"/>
          <w:sz w:val="72"/>
        </w:rPr>
      </w:pPr>
      <w:r>
        <w:rPr>
          <w:b/>
          <w:bCs/>
          <w:color w:val="000080"/>
          <w:sz w:val="72"/>
        </w:rPr>
        <w:t>Fundamentals</w:t>
      </w:r>
    </w:p>
    <w:p>
      <w:pPr>
        <w:pStyle w:val="Normal"/>
        <w:jc w:val="center"/>
        <w:rPr>
          <w:color w:val="333399"/>
          <w:sz w:val="72"/>
        </w:rPr>
      </w:pPr>
      <w:r>
        <w:rPr>
          <w:b/>
          <w:bCs/>
          <w:color w:val="000080"/>
          <w:sz w:val="72"/>
        </w:rPr>
        <w:t>SO2 Report Documentation</w:t>
      </w:r>
    </w:p>
    <w:p>
      <w:pPr>
        <w:pStyle w:val="Header"/>
        <w:tabs>
          <w:tab w:val="clear" w:pos="4320"/>
          <w:tab w:val="clear" w:pos="8640"/>
        </w:tabs>
        <w:rPr>
          <w:color w:val="333399"/>
          <w:sz w:val="72"/>
        </w:rPr>
      </w:pPr>
      <w:r>
        <w:rPr>
          <w:color w:val="333399"/>
          <w:sz w:val="7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rFonts w:ascii="Perpetua" w:hAnsi="Perpetua" w:cs="Arial"/>
          <w:sz w:val="20"/>
        </w:rPr>
      </w:pPr>
      <w:r>
        <w:rPr>
          <w:rFonts w:cs="Arial" w:ascii="Perpetua" w:hAnsi="Perpetua"/>
          <w:sz w:val="20"/>
        </w:rPr>
        <w:t>Group: EGM Fundamentals IT support</w:t>
      </w:r>
    </w:p>
    <w:p>
      <w:pPr>
        <w:pStyle w:val="Normal"/>
        <w:rPr>
          <w:rFonts w:ascii="Perpetua" w:hAnsi="Perpetua" w:cs="Arial"/>
          <w:sz w:val="20"/>
        </w:rPr>
      </w:pPr>
      <w:r>
        <w:rPr>
          <w:rFonts w:cs="Arial" w:ascii="Perpetua" w:hAnsi="Perpetua"/>
          <w:sz w:val="20"/>
        </w:rPr>
        <w:t>Latest update: July 26, 2001  - Version 1.0</w:t>
      </w:r>
    </w:p>
    <w:p>
      <w:pPr>
        <w:pStyle w:val="Normal"/>
        <w:rPr>
          <w:rFonts w:ascii="Perpetua" w:hAnsi="Perpetua" w:cs="Arial"/>
          <w:sz w:val="20"/>
        </w:rPr>
      </w:pPr>
      <w:r>
        <w:rPr>
          <w:rFonts w:cs="Arial" w:ascii="Perpetua" w:hAnsi="Perpetua"/>
          <w:sz w:val="20"/>
        </w:rPr>
        <w:t>Author: Wade Wells</w:t>
      </w:r>
    </w:p>
    <w:p>
      <w:pPr>
        <w:pStyle w:val="Normal"/>
        <w:rPr>
          <w:rFonts w:ascii="Perpetua" w:hAnsi="Perpetua" w:cs="Arial"/>
          <w:sz w:val="20"/>
        </w:rPr>
      </w:pPr>
      <w:r>
        <w:rPr>
          <w:rFonts w:cs="Arial" w:ascii="Perpetua" w:hAnsi="Perpetua"/>
          <w:sz w:val="20"/>
        </w:rPr>
        <w:t>Doc location: O:\Enron Net Works\EGM_IT\EGM\Projects\SO2\Documentation</w:t>
      </w:r>
      <w:r>
        <w:br w:type="page"/>
      </w:r>
    </w:p>
    <w:p>
      <w:pPr>
        <w:pStyle w:val="Heading1"/>
        <w:ind w:hanging="0" w:start="0"/>
        <w:rPr/>
      </w:pPr>
      <w:r>
        <w:rPr/>
        <w:t>Overview</w:t>
      </w:r>
    </w:p>
    <w:p>
      <w:pPr>
        <w:pStyle w:val="Normal"/>
        <w:rPr/>
      </w:pPr>
      <w:r>
        <w:rPr/>
        <w:t>In an effort to reduce the emissions of sulfur dioxide (SO2) and nitrogen oxides (NOx) that are emitted from plants that burn fossil fuels, the EPA implemented the Acid Rain Program.  Affected utility units are allocated allowances, where each allowance permits a unit to emit 1 ton of SO2 during or after a specified year.  These allowances may be bought, sold, or banked and are tracked by the Allowance Tracking System (ATS).  The EPA publishes the data from the ATS, along with emissions reports, on their website.  These reports track allowances and emissions by individual units of each plant.  The SO2 Report program compiles the data from these reports, along with plant ownership reports, to generate a single report which is based on the holding or operating companies.</w:t>
      </w:r>
    </w:p>
    <w:p>
      <w:pPr>
        <w:pStyle w:val="Normal"/>
        <w:rPr/>
      </w:pPr>
      <w:r>
        <w:rPr/>
      </w:r>
    </w:p>
    <w:p>
      <w:pPr>
        <w:pStyle w:val="Normal"/>
        <w:rPr/>
      </w:pPr>
      <w:r>
        <w:rPr/>
      </w:r>
    </w:p>
    <w:p>
      <w:pPr>
        <w:pStyle w:val="Normal"/>
        <w:rPr/>
      </w:pPr>
      <w:r>
        <w:rPr/>
      </w:r>
    </w:p>
    <w:p>
      <w:pPr>
        <w:pStyle w:val="Heading1"/>
        <w:ind w:hanging="0" w:start="0"/>
        <w:rPr/>
      </w:pPr>
      <w:r>
        <w:rPr/>
        <w:t>reQUIREMENTS</w:t>
      </w:r>
    </w:p>
    <w:p>
      <w:pPr>
        <w:pStyle w:val="Normal"/>
        <w:jc w:val="both"/>
        <w:rPr/>
      </w:pPr>
      <w:r>
        <w:rPr/>
        <w:t>Create a report using Excel.</w:t>
      </w:r>
    </w:p>
    <w:p>
      <w:pPr>
        <w:pStyle w:val="Normal"/>
        <w:jc w:val="both"/>
        <w:rPr/>
      </w:pPr>
      <w:r>
        <w:rPr/>
      </w:r>
    </w:p>
    <w:p>
      <w:pPr>
        <w:pStyle w:val="Normal"/>
        <w:jc w:val="both"/>
        <w:rPr/>
      </w:pPr>
      <w:r>
        <w:rPr/>
        <w:t>Use the allowance, emissions and ownership data provided to generate separate spreadsheets based on Holding Company and Operating Company that show:</w:t>
      </w:r>
    </w:p>
    <w:p>
      <w:pPr>
        <w:pStyle w:val="Normal"/>
        <w:jc w:val="both"/>
        <w:rPr/>
      </w:pPr>
      <w:r>
        <w:rPr/>
        <w:tab/>
        <w:t>Company Name</w:t>
      </w:r>
    </w:p>
    <w:p>
      <w:pPr>
        <w:pStyle w:val="Normal"/>
        <w:jc w:val="both"/>
        <w:rPr/>
      </w:pPr>
      <w:r>
        <w:rPr/>
        <w:tab/>
        <w:t>Quarterly Emissions (for past year)</w:t>
      </w:r>
    </w:p>
    <w:p>
      <w:pPr>
        <w:pStyle w:val="Normal"/>
        <w:jc w:val="both"/>
        <w:rPr/>
      </w:pPr>
      <w:r>
        <w:rPr/>
        <w:tab/>
        <w:t>Total Emissions (for past year)</w:t>
      </w:r>
    </w:p>
    <w:p>
      <w:pPr>
        <w:pStyle w:val="Normal"/>
        <w:jc w:val="both"/>
        <w:rPr/>
      </w:pPr>
      <w:r>
        <w:rPr/>
        <w:tab/>
        <w:t>Banked Allowances (unused Allowances from previous years)</w:t>
      </w:r>
    </w:p>
    <w:p>
      <w:pPr>
        <w:pStyle w:val="Normal"/>
        <w:jc w:val="both"/>
        <w:rPr/>
      </w:pPr>
      <w:r>
        <w:rPr/>
        <w:tab/>
        <w:t>Year Ending Net Position for next 10 years</w:t>
      </w:r>
    </w:p>
    <w:p>
      <w:pPr>
        <w:pStyle w:val="Normal"/>
        <w:jc w:val="both"/>
        <w:rPr/>
      </w:pPr>
      <w:r>
        <w:rPr/>
        <w:tab/>
        <w:t>Total Ending Position</w:t>
      </w:r>
    </w:p>
    <w:p>
      <w:pPr>
        <w:pStyle w:val="Normal"/>
        <w:jc w:val="both"/>
        <w:rPr/>
      </w:pPr>
      <w:r>
        <w:rPr/>
        <w:t>Emissions and Allowances should be based on the amount of ownership by each company.</w:t>
      </w:r>
    </w:p>
    <w:p>
      <w:pPr>
        <w:pStyle w:val="Normal"/>
        <w:jc w:val="both"/>
        <w:rPr/>
      </w:pPr>
      <w:r>
        <w:rPr/>
        <w:t>The Net Position should indicate the use of any Banked Allowances.</w:t>
        <w:tab/>
      </w:r>
    </w:p>
    <w:p>
      <w:pPr>
        <w:pStyle w:val="Normal"/>
        <w:jc w:val="both"/>
        <w:rPr/>
      </w:pPr>
      <w:r>
        <w:rPr/>
        <w:t>The Net Position should not include any negative balance from previous years.</w:t>
      </w:r>
    </w:p>
    <w:p>
      <w:pPr>
        <w:pStyle w:val="Normal"/>
        <w:jc w:val="both"/>
        <w:rPr/>
      </w:pPr>
      <w:r>
        <w:rPr/>
      </w:r>
    </w:p>
    <w:p>
      <w:pPr>
        <w:pStyle w:val="Normal"/>
        <w:jc w:val="both"/>
        <w:rPr/>
      </w:pPr>
      <w:r>
        <w:rPr/>
        <w:t>The report should also:</w:t>
      </w:r>
    </w:p>
    <w:p>
      <w:pPr>
        <w:pStyle w:val="Normal"/>
        <w:ind w:firstLine="720" w:end="0"/>
        <w:jc w:val="both"/>
        <w:rPr/>
      </w:pPr>
      <w:r>
        <w:rPr/>
        <w:t>Include a chart forecasting the Total Market Balance for the next 10 years</w:t>
      </w:r>
    </w:p>
    <w:p>
      <w:pPr>
        <w:pStyle w:val="BodyText"/>
        <w:rPr/>
      </w:pPr>
      <w:r>
        <w:rPr/>
        <w:tab/>
        <w:t>Include a summary sheet indicating the top 10 companies with:</w:t>
      </w:r>
    </w:p>
    <w:p>
      <w:pPr>
        <w:pStyle w:val="Normal"/>
        <w:jc w:val="both"/>
        <w:rPr/>
      </w:pPr>
      <w:r>
        <w:rPr/>
        <w:tab/>
        <w:tab/>
        <w:t>The most number of Net Allowances</w:t>
      </w:r>
    </w:p>
    <w:p>
      <w:pPr>
        <w:pStyle w:val="Normal"/>
        <w:jc w:val="both"/>
        <w:rPr/>
      </w:pPr>
      <w:r>
        <w:rPr/>
        <w:tab/>
        <w:tab/>
        <w:t>The least number of Net Allowances</w:t>
      </w:r>
    </w:p>
    <w:p>
      <w:pPr>
        <w:pStyle w:val="Normal"/>
        <w:jc w:val="both"/>
        <w:rPr/>
      </w:pPr>
      <w:r>
        <w:rPr/>
        <w:tab/>
        <w:tab/>
        <w:t xml:space="preserve">The most number of Allowance transactions </w:t>
      </w:r>
      <w:r>
        <w:rPr>
          <w:i/>
          <w:iCs/>
        </w:rPr>
        <w:t>(to be determined)</w:t>
      </w:r>
    </w:p>
    <w:p>
      <w:pPr>
        <w:pStyle w:val="Normal"/>
        <w:jc w:val="both"/>
        <w:rPr/>
      </w:pPr>
      <w:r>
        <w:rPr/>
      </w:r>
    </w:p>
    <w:p>
      <w:pPr>
        <w:pStyle w:val="Normal"/>
        <w:jc w:val="both"/>
        <w:rPr/>
      </w:pPr>
      <w:r>
        <w:rPr/>
        <w:t>The program should have a button to open the report that was just created.</w:t>
      </w:r>
    </w:p>
    <w:p>
      <w:pPr>
        <w:pStyle w:val="Normal"/>
        <w:jc w:val="both"/>
        <w:rPr/>
      </w:pPr>
      <w:r>
        <w:rPr/>
        <w:t>Due to the proprietary nature of the SO2 program and the SO2 reports, both are to be password protected.</w:t>
      </w:r>
      <w:r>
        <w:br w:type="page"/>
      </w:r>
    </w:p>
    <w:p>
      <w:pPr>
        <w:pStyle w:val="Heading1"/>
        <w:ind w:hanging="0" w:start="0"/>
        <w:rPr/>
      </w:pPr>
      <w:r>
        <w:rPr/>
        <w:t>Source Data</w:t>
      </w:r>
    </w:p>
    <w:p>
      <w:pPr>
        <w:pStyle w:val="Normal"/>
        <w:jc w:val="both"/>
        <w:rPr>
          <w:b/>
          <w:bCs/>
        </w:rPr>
      </w:pPr>
      <w:r>
        <w:rPr>
          <w:b/>
          <w:bCs/>
        </w:rPr>
        <w:t>Allowances Held Report</w:t>
      </w:r>
    </w:p>
    <w:p>
      <w:pPr>
        <w:pStyle w:val="Normal"/>
        <w:jc w:val="both"/>
        <w:rPr>
          <w:color w:val="000000"/>
          <w:szCs w:val="20"/>
        </w:rPr>
      </w:pPr>
      <w:r>
        <w:rPr>
          <w:color w:val="000000"/>
          <w:szCs w:val="20"/>
        </w:rPr>
        <w:t>Text file – Allow.txt</w:t>
      </w:r>
    </w:p>
    <w:p>
      <w:pPr>
        <w:pStyle w:val="Normal"/>
        <w:jc w:val="both"/>
        <w:rPr>
          <w:color w:val="000000"/>
          <w:szCs w:val="20"/>
        </w:rPr>
      </w:pPr>
      <w:r>
        <w:rPr>
          <w:color w:val="000000"/>
          <w:szCs w:val="20"/>
        </w:rPr>
        <w:t>Updated on a weekly basis every Monday morning</w:t>
      </w:r>
    </w:p>
    <w:p>
      <w:pPr>
        <w:pStyle w:val="Normal"/>
        <w:jc w:val="both"/>
        <w:rPr>
          <w:color w:val="000000"/>
          <w:szCs w:val="20"/>
        </w:rPr>
      </w:pPr>
      <w:r>
        <w:rPr>
          <w:color w:val="000000"/>
          <w:szCs w:val="20"/>
        </w:rPr>
        <w:t xml:space="preserve">Located at </w:t>
      </w:r>
      <w:hyperlink r:id="rId4">
        <w:r>
          <w:rPr>
            <w:rStyle w:val="Hyperlink"/>
          </w:rPr>
          <w:t>http://www.epa.gov/airmarkets/tracking/ats/allow.zip</w:t>
        </w:r>
      </w:hyperlink>
    </w:p>
    <w:p>
      <w:pPr>
        <w:pStyle w:val="Normal"/>
        <w:jc w:val="both"/>
        <w:rPr>
          <w:b/>
          <w:bCs/>
        </w:rPr>
      </w:pPr>
      <w:r>
        <w:rPr>
          <w:color w:val="000000"/>
          <w:szCs w:val="20"/>
        </w:rPr>
        <w:t>This file will be automatically downloaded and unzipped</w:t>
      </w:r>
    </w:p>
    <w:p>
      <w:pPr>
        <w:pStyle w:val="Normal"/>
        <w:jc w:val="both"/>
        <w:rPr>
          <w:b/>
          <w:bCs/>
          <w:u w:val="single"/>
        </w:rPr>
      </w:pPr>
      <w:r>
        <w:rPr>
          <w:b/>
          <w:bCs/>
          <w:u w:val="single"/>
        </w:rPr>
      </w:r>
    </w:p>
    <w:p>
      <w:pPr>
        <w:pStyle w:val="Normal"/>
        <w:jc w:val="both"/>
        <w:rPr>
          <w:b/>
          <w:bCs/>
        </w:rPr>
      </w:pPr>
      <w:r>
        <w:rPr>
          <w:b/>
          <w:bCs/>
        </w:rPr>
        <w:t>Emissions Report</w:t>
      </w:r>
    </w:p>
    <w:p>
      <w:pPr>
        <w:pStyle w:val="Normal"/>
        <w:jc w:val="both"/>
        <w:rPr/>
      </w:pPr>
      <w:r>
        <w:rPr>
          <w:color w:val="000000"/>
          <w:szCs w:val="20"/>
        </w:rPr>
        <w:t xml:space="preserve">Excel spreadsheet - </w:t>
      </w:r>
      <w:r>
        <w:rPr/>
        <w:t>Qtr_YYQx.xls xls (where YY=2 digit year and Q=1 digit quarter)</w:t>
      </w:r>
    </w:p>
    <w:p>
      <w:pPr>
        <w:pStyle w:val="Normal"/>
        <w:autoSpaceDE w:val="false"/>
        <w:spacing w:lineRule="atLeast" w:line="240"/>
        <w:ind w:start="1440" w:end="0"/>
        <w:rPr>
          <w:color w:val="000000"/>
          <w:szCs w:val="20"/>
        </w:rPr>
      </w:pPr>
      <w:r>
        <w:rPr/>
        <w:t xml:space="preserve">        </w:t>
      </w:r>
      <w:r>
        <w:rPr/>
        <w:t>i.e. Qtr_001x.xls represents the 1</w:t>
      </w:r>
      <w:r>
        <w:rPr>
          <w:vertAlign w:val="superscript"/>
        </w:rPr>
        <w:t>st</w:t>
      </w:r>
      <w:r>
        <w:rPr/>
        <w:t xml:space="preserve"> qtr of 2000</w:t>
      </w:r>
    </w:p>
    <w:p>
      <w:pPr>
        <w:pStyle w:val="Normal"/>
        <w:autoSpaceDE w:val="false"/>
        <w:spacing w:lineRule="atLeast" w:line="240"/>
        <w:rPr>
          <w:color w:val="000000"/>
          <w:szCs w:val="20"/>
        </w:rPr>
      </w:pPr>
      <w:r>
        <w:rPr>
          <w:color w:val="000000"/>
          <w:szCs w:val="20"/>
        </w:rPr>
        <w:t>Updated quarterly and is available approx. 3 mo. after end of qtr.</w:t>
      </w:r>
    </w:p>
    <w:p>
      <w:pPr>
        <w:pStyle w:val="Normal"/>
        <w:autoSpaceDE w:val="false"/>
        <w:spacing w:lineRule="atLeast" w:line="240"/>
        <w:rPr>
          <w:color w:val="000000"/>
          <w:szCs w:val="20"/>
        </w:rPr>
      </w:pPr>
      <w:r>
        <w:rPr>
          <w:color w:val="000000"/>
          <w:szCs w:val="20"/>
        </w:rPr>
        <w:t xml:space="preserve">Located at </w:t>
      </w:r>
      <w:hyperlink r:id="rId5">
        <w:r>
          <w:rPr>
            <w:rStyle w:val="Hyperlink"/>
          </w:rPr>
          <w:t>http://www.epa.gov/airmarkets/emissions/prelimarp/index.html</w:t>
        </w:r>
      </w:hyperlink>
    </w:p>
    <w:p>
      <w:pPr>
        <w:pStyle w:val="Normal"/>
        <w:jc w:val="both"/>
        <w:rPr>
          <w:b/>
          <w:bCs/>
          <w:color w:val="000000"/>
          <w:szCs w:val="20"/>
        </w:rPr>
      </w:pPr>
      <w:r>
        <w:rPr>
          <w:color w:val="000000"/>
          <w:szCs w:val="20"/>
        </w:rPr>
        <w:t>This file will be automatically downloaded and unzipped</w:t>
      </w:r>
    </w:p>
    <w:p>
      <w:pPr>
        <w:pStyle w:val="Normal"/>
        <w:jc w:val="both"/>
        <w:rPr>
          <w:b/>
          <w:bCs/>
          <w:color w:val="000000"/>
          <w:szCs w:val="20"/>
        </w:rPr>
      </w:pPr>
      <w:r>
        <w:rPr>
          <w:b/>
          <w:bCs/>
          <w:color w:val="000000"/>
          <w:szCs w:val="20"/>
        </w:rPr>
      </w:r>
    </w:p>
    <w:p>
      <w:pPr>
        <w:pStyle w:val="Normal"/>
        <w:jc w:val="both"/>
        <w:rPr/>
      </w:pPr>
      <w:r>
        <w:rPr>
          <w:b/>
          <w:bCs/>
          <w:i/>
          <w:iCs/>
          <w:color w:val="FF0000"/>
          <w:szCs w:val="20"/>
        </w:rPr>
        <w:t>*</w:t>
      </w:r>
      <w:r>
        <w:rPr>
          <w:i/>
          <w:iCs/>
          <w:color w:val="FF0000"/>
          <w:szCs w:val="20"/>
        </w:rPr>
        <w:t>Allowance and Emissions reports will eventually be automatically downloaded using the</w:t>
      </w:r>
    </w:p>
    <w:p>
      <w:pPr>
        <w:pStyle w:val="Normal"/>
        <w:jc w:val="both"/>
        <w:rPr>
          <w:b/>
          <w:bCs/>
          <w:i/>
          <w:i/>
          <w:iCs/>
          <w:color w:val="FF0000"/>
          <w:szCs w:val="20"/>
        </w:rPr>
      </w:pPr>
      <w:r>
        <w:rPr>
          <w:i/>
          <w:iCs/>
          <w:color w:val="FF0000"/>
          <w:szCs w:val="20"/>
        </w:rPr>
        <w:t xml:space="preserve">  </w:t>
      </w:r>
      <w:r>
        <w:rPr>
          <w:i/>
          <w:iCs/>
          <w:color w:val="FF0000"/>
          <w:szCs w:val="20"/>
        </w:rPr>
        <w:t>Jaguar ETLM system developed by the Gas Fundamentals IT group</w:t>
      </w:r>
      <w:r>
        <w:rPr>
          <w:i/>
          <w:iCs/>
          <w:color w:val="FF0000"/>
          <w:szCs w:val="25"/>
        </w:rPr>
        <w:t xml:space="preserve"> (Chris Hyde x</w:t>
      </w:r>
      <w:r>
        <w:rPr>
          <w:i/>
          <w:iCs/>
          <w:color w:val="FF0000"/>
          <w:szCs w:val="18"/>
        </w:rPr>
        <w:t xml:space="preserve"> 5-8885).</w:t>
      </w:r>
    </w:p>
    <w:p>
      <w:pPr>
        <w:pStyle w:val="Normal"/>
        <w:jc w:val="both"/>
        <w:rPr>
          <w:i/>
          <w:i/>
          <w:iCs/>
          <w:color w:val="000000"/>
          <w:szCs w:val="20"/>
        </w:rPr>
      </w:pPr>
      <w:r>
        <w:rPr>
          <w:i/>
          <w:iCs/>
          <w:color w:val="FF0000"/>
          <w:szCs w:val="20"/>
        </w:rPr>
        <w:t xml:space="preserve"> </w:t>
      </w:r>
      <w:r>
        <w:rPr>
          <w:i/>
          <w:iCs/>
          <w:color w:val="FF0000"/>
          <w:szCs w:val="20"/>
        </w:rPr>
        <w:t>Until then, they must be manually downloaded and/or unzipped.</w:t>
      </w:r>
    </w:p>
    <w:p>
      <w:pPr>
        <w:pStyle w:val="Normal"/>
        <w:jc w:val="both"/>
        <w:rPr>
          <w:i/>
          <w:i/>
          <w:iCs/>
          <w:color w:val="000000"/>
          <w:szCs w:val="20"/>
        </w:rPr>
      </w:pPr>
      <w:r>
        <w:rPr>
          <w:i/>
          <w:iCs/>
          <w:color w:val="000000"/>
          <w:szCs w:val="20"/>
        </w:rPr>
      </w:r>
    </w:p>
    <w:p>
      <w:pPr>
        <w:pStyle w:val="Normal"/>
        <w:jc w:val="both"/>
        <w:rPr>
          <w:b/>
          <w:bCs/>
        </w:rPr>
      </w:pPr>
      <w:r>
        <w:rPr>
          <w:b/>
          <w:bCs/>
          <w:color w:val="000000"/>
          <w:szCs w:val="20"/>
        </w:rPr>
        <w:t>ATS Ownership</w:t>
      </w:r>
    </w:p>
    <w:p>
      <w:pPr>
        <w:pStyle w:val="Normal"/>
        <w:jc w:val="both"/>
        <w:rPr>
          <w:color w:val="000000"/>
          <w:szCs w:val="20"/>
        </w:rPr>
      </w:pPr>
      <w:r>
        <w:rPr>
          <w:color w:val="000000"/>
          <w:szCs w:val="20"/>
        </w:rPr>
        <w:t>Excel spreadsheet – ATS_Ownership.xls</w:t>
      </w:r>
    </w:p>
    <w:p>
      <w:pPr>
        <w:pStyle w:val="Normal"/>
        <w:jc w:val="both"/>
        <w:rPr/>
      </w:pPr>
      <w:r>
        <w:rPr>
          <w:color w:val="000000"/>
          <w:szCs w:val="20"/>
        </w:rPr>
        <w:t xml:space="preserve">Supplied by the </w:t>
      </w:r>
      <w:r>
        <w:rPr/>
        <w:t>EGM Coal Trading Group</w:t>
      </w:r>
    </w:p>
    <w:p>
      <w:pPr>
        <w:pStyle w:val="Normal"/>
        <w:jc w:val="both"/>
        <w:rPr>
          <w:b/>
          <w:bCs/>
        </w:rPr>
      </w:pPr>
      <w:r>
        <w:rPr>
          <w:b/>
          <w:bCs/>
          <w:color w:val="000000"/>
          <w:szCs w:val="20"/>
        </w:rPr>
        <w:t>CEMS Ownership</w:t>
      </w:r>
    </w:p>
    <w:p>
      <w:pPr>
        <w:pStyle w:val="Normal"/>
        <w:jc w:val="both"/>
        <w:rPr>
          <w:color w:val="000000"/>
          <w:szCs w:val="20"/>
        </w:rPr>
      </w:pPr>
      <w:r>
        <w:rPr>
          <w:color w:val="000000"/>
          <w:szCs w:val="20"/>
        </w:rPr>
        <w:t>Excel spreadsheet – CEMS_Ownership.xls</w:t>
      </w:r>
    </w:p>
    <w:p>
      <w:pPr>
        <w:pStyle w:val="Normal"/>
        <w:jc w:val="both"/>
        <w:rPr/>
      </w:pPr>
      <w:r>
        <w:rPr>
          <w:color w:val="000000"/>
          <w:szCs w:val="20"/>
        </w:rPr>
        <w:t xml:space="preserve">Supplied by the </w:t>
      </w:r>
      <w:r>
        <w:rPr/>
        <w:t>EGM Coal Trading Group</w:t>
      </w:r>
    </w:p>
    <w:p>
      <w:pPr>
        <w:pStyle w:val="Normal"/>
        <w:jc w:val="both"/>
        <w:rPr/>
      </w:pPr>
      <w:r>
        <w:rPr/>
      </w:r>
    </w:p>
    <w:p>
      <w:pPr>
        <w:pStyle w:val="Normal"/>
        <w:jc w:val="both"/>
        <w:rPr/>
      </w:pPr>
      <w:r>
        <w:rPr/>
        <w:t>For information concerning the ownership spreadsheets, contact the EGM Coal Trading Group:</w:t>
      </w:r>
    </w:p>
    <w:p>
      <w:pPr>
        <w:pStyle w:val="Normal"/>
        <w:ind w:firstLine="720" w:end="0"/>
        <w:jc w:val="both"/>
        <w:rPr/>
      </w:pPr>
      <w:r>
        <w:rPr/>
        <w:t xml:space="preserve">Trevor Woods @ x33810 </w:t>
      </w:r>
    </w:p>
    <w:p>
      <w:pPr>
        <w:pStyle w:val="Normal"/>
        <w:jc w:val="both"/>
        <w:rPr/>
      </w:pPr>
      <w:r>
        <w:rPr/>
        <w:t xml:space="preserve">All files are located in </w:t>
      </w:r>
      <w:hyperlink r:id="rId6">
        <w:r>
          <w:rPr>
            <w:rStyle w:val="Hyperlink"/>
          </w:rPr>
          <w:t>\\enehou\houston\common\Liquids\Liquids\Coal\SO2_Report\Files</w:t>
        </w:r>
      </w:hyperlink>
    </w:p>
    <w:p>
      <w:pPr>
        <w:pStyle w:val="Normal"/>
        <w:jc w:val="both"/>
        <w:rPr/>
      </w:pPr>
      <w:r>
        <w:rPr/>
        <w:t xml:space="preserve">In order for the SO2 Report program to find these files, </w:t>
      </w:r>
      <w:r>
        <w:rPr>
          <w:u w:val="single"/>
        </w:rPr>
        <w:t>filenames shall not be changed.</w:t>
      </w:r>
    </w:p>
    <w:p>
      <w:pPr>
        <w:pStyle w:val="Normal"/>
        <w:jc w:val="both"/>
        <w:rPr>
          <w:u w:val="single"/>
        </w:rPr>
      </w:pPr>
      <w:r>
        <w:rPr>
          <w:u w:val="single"/>
        </w:rPr>
      </w:r>
    </w:p>
    <w:p>
      <w:pPr>
        <w:pStyle w:val="Normal"/>
        <w:jc w:val="both"/>
        <w:rPr>
          <w:u w:val="single"/>
        </w:rPr>
      </w:pPr>
      <w:r>
        <w:rPr>
          <w:b/>
          <w:bCs/>
          <w:u w:val="single"/>
        </w:rPr>
        <w:t>DATABASE</w:t>
      </w:r>
    </w:p>
    <w:p>
      <w:pPr>
        <w:pStyle w:val="Normal"/>
        <w:jc w:val="both"/>
        <w:rPr/>
      </w:pPr>
      <w:r>
        <w:rPr/>
        <w:t>Data from each of the 4 files is input into the SQL Server database l</w:t>
      </w:r>
      <w:r>
        <w:rPr>
          <w:color w:val="000000"/>
          <w:szCs w:val="20"/>
        </w:rPr>
        <w:t>ocated at:</w:t>
      </w:r>
    </w:p>
    <w:p>
      <w:pPr>
        <w:pStyle w:val="Normal"/>
        <w:ind w:firstLine="720" w:end="0"/>
        <w:jc w:val="both"/>
        <w:rPr/>
      </w:pPr>
      <w:r>
        <w:rPr/>
        <w:t>Server - NAHOU-GASFUNDY1</w:t>
      </w:r>
    </w:p>
    <w:p>
      <w:pPr>
        <w:pStyle w:val="Normal"/>
        <w:ind w:firstLine="720" w:end="0"/>
        <w:jc w:val="both"/>
        <w:rPr>
          <w:color w:val="000000"/>
          <w:szCs w:val="20"/>
        </w:rPr>
      </w:pPr>
      <w:r>
        <w:rPr/>
        <w:t>Database - EGM_SO2</w:t>
      </w:r>
    </w:p>
    <w:p>
      <w:pPr>
        <w:pStyle w:val="Normal"/>
        <w:jc w:val="both"/>
        <w:rPr/>
      </w:pPr>
      <w:r>
        <w:rPr/>
        <w:t>For information concerning the Database, contact the NAHOU-GASFUNDY1 DBA:</w:t>
      </w:r>
    </w:p>
    <w:p>
      <w:pPr>
        <w:pStyle w:val="Header"/>
        <w:tabs>
          <w:tab w:val="clear" w:pos="4320"/>
          <w:tab w:val="clear" w:pos="8640"/>
        </w:tabs>
        <w:autoSpaceDE w:val="false"/>
        <w:spacing w:lineRule="atLeast" w:line="240"/>
        <w:ind w:firstLine="720" w:end="0"/>
        <w:rPr>
          <w:color w:val="000000"/>
          <w:szCs w:val="20"/>
        </w:rPr>
      </w:pPr>
      <w:r>
        <w:rPr/>
        <w:t>David Dronet @ x53482</w:t>
      </w:r>
    </w:p>
    <w:p>
      <w:pPr>
        <w:pStyle w:val="Header"/>
        <w:tabs>
          <w:tab w:val="clear" w:pos="4320"/>
          <w:tab w:val="clear" w:pos="8640"/>
        </w:tabs>
        <w:autoSpaceDE w:val="false"/>
        <w:spacing w:lineRule="atLeast" w:line="240"/>
        <w:rPr>
          <w:color w:val="000000"/>
          <w:szCs w:val="20"/>
        </w:rPr>
      </w:pPr>
      <w:r>
        <w:rPr>
          <w:color w:val="000000"/>
          <w:szCs w:val="20"/>
        </w:rPr>
        <w:t>Access to the database is limited to the EGM Fundamentals IT Group and the DBA</w:t>
      </w:r>
    </w:p>
    <w:p>
      <w:pPr>
        <w:pStyle w:val="Header"/>
        <w:tabs>
          <w:tab w:val="clear" w:pos="4320"/>
          <w:tab w:val="clear" w:pos="8640"/>
        </w:tabs>
        <w:autoSpaceDE w:val="false"/>
        <w:spacing w:lineRule="atLeast" w:line="240"/>
        <w:rPr>
          <w:color w:val="000000"/>
          <w:szCs w:val="20"/>
        </w:rPr>
      </w:pPr>
      <w:r>
        <w:rPr>
          <w:color w:val="000000"/>
          <w:szCs w:val="20"/>
        </w:rPr>
        <w:t>The Emissions Report Log table contains a list of all Qtr’s/Yr’s previously downloaded.</w:t>
      </w:r>
    </w:p>
    <w:p>
      <w:pPr>
        <w:pStyle w:val="Header"/>
        <w:tabs>
          <w:tab w:val="clear" w:pos="4320"/>
          <w:tab w:val="clear" w:pos="8640"/>
        </w:tabs>
        <w:autoSpaceDE w:val="false"/>
        <w:spacing w:lineRule="atLeast" w:line="240"/>
        <w:rPr/>
      </w:pPr>
      <w:r>
        <w:rPr/>
        <w:t>The Password table contains the current and all previous passwords.</w:t>
      </w:r>
    </w:p>
    <w:p>
      <w:pPr>
        <w:pStyle w:val="Header"/>
        <w:tabs>
          <w:tab w:val="clear" w:pos="4320"/>
          <w:tab w:val="clear" w:pos="8640"/>
        </w:tabs>
        <w:autoSpaceDE w:val="false"/>
        <w:spacing w:lineRule="atLeast" w:line="240"/>
        <w:rPr>
          <w:b/>
          <w:bCs/>
        </w:rPr>
      </w:pPr>
      <w:r>
        <w:rPr>
          <w:b/>
          <w:bCs/>
        </w:rPr>
      </w:r>
    </w:p>
    <w:p>
      <w:pPr>
        <w:pStyle w:val="Header"/>
        <w:tabs>
          <w:tab w:val="clear" w:pos="4320"/>
          <w:tab w:val="clear" w:pos="8640"/>
        </w:tabs>
        <w:autoSpaceDE w:val="false"/>
        <w:spacing w:lineRule="atLeast" w:line="240"/>
        <w:rPr>
          <w:b/>
          <w:bCs/>
          <w:color w:val="000000"/>
          <w:szCs w:val="20"/>
        </w:rPr>
      </w:pPr>
      <w:r>
        <w:rPr>
          <w:b/>
          <w:bCs/>
        </w:rPr>
        <w:t>vwHoldCoName_AllowCombine</w:t>
      </w:r>
    </w:p>
    <w:p>
      <w:pPr>
        <w:pStyle w:val="Normal"/>
        <w:autoSpaceDE w:val="false"/>
        <w:spacing w:lineRule="atLeast" w:line="240"/>
        <w:rPr>
          <w:color w:val="000000"/>
          <w:szCs w:val="20"/>
        </w:rPr>
      </w:pPr>
      <w:r>
        <w:rPr>
          <w:color w:val="000000"/>
          <w:szCs w:val="20"/>
        </w:rPr>
        <w:t xml:space="preserve">Combines the </w:t>
      </w:r>
      <w:r>
        <w:rPr/>
        <w:t>ATS_Ownership and Allowances tables.</w:t>
      </w:r>
    </w:p>
    <w:p>
      <w:pPr>
        <w:pStyle w:val="Normal"/>
        <w:autoSpaceDE w:val="false"/>
        <w:spacing w:lineRule="atLeast" w:line="240"/>
        <w:rPr>
          <w:color w:val="000000"/>
          <w:szCs w:val="20"/>
        </w:rPr>
      </w:pPr>
      <w:r>
        <w:rPr>
          <w:color w:val="000000"/>
          <w:szCs w:val="20"/>
        </w:rPr>
        <w:t>Returns the company name for each unit and Total Allowance (based on ownership percent) for     each year.</w:t>
      </w:r>
      <w:r>
        <w:br w:type="page"/>
      </w:r>
    </w:p>
    <w:p>
      <w:pPr>
        <w:pStyle w:val="Normal"/>
        <w:autoSpaceDE w:val="false"/>
        <w:spacing w:lineRule="atLeast" w:line="240"/>
        <w:rPr>
          <w:b/>
          <w:bCs/>
          <w:u w:val="single"/>
        </w:rPr>
      </w:pPr>
      <w:r>
        <w:rPr>
          <w:b/>
          <w:bCs/>
          <w:u w:val="single"/>
        </w:rPr>
        <w:t>DATABASE (cont’d)</w:t>
      </w:r>
    </w:p>
    <w:p>
      <w:pPr>
        <w:pStyle w:val="TOAHeading"/>
        <w:autoSpaceDE w:val="false"/>
        <w:spacing w:lineRule="atLeast" w:line="240" w:before="0" w:after="0"/>
        <w:rPr>
          <w:rFonts w:ascii="Times New Roman" w:hAnsi="Times New Roman" w:cs="Times New Roman"/>
          <w:color w:val="000000"/>
          <w:szCs w:val="20"/>
        </w:rPr>
      </w:pPr>
      <w:r>
        <w:rPr>
          <w:rFonts w:cs="Times New Roman" w:ascii="Times New Roman" w:hAnsi="Times New Roman"/>
        </w:rPr>
        <w:t>vwHoldCoName_Allowances</w:t>
      </w:r>
    </w:p>
    <w:p>
      <w:pPr>
        <w:pStyle w:val="Normal"/>
        <w:autoSpaceDE w:val="false"/>
        <w:spacing w:lineRule="atLeast" w:line="240"/>
        <w:rPr/>
      </w:pPr>
      <w:r>
        <w:rPr>
          <w:color w:val="000000"/>
          <w:szCs w:val="20"/>
        </w:rPr>
        <w:t xml:space="preserve">Uses </w:t>
      </w:r>
      <w:r>
        <w:rPr/>
        <w:t>vwHoldCoName_AllowCombine</w:t>
      </w:r>
      <w:r>
        <w:rPr>
          <w:color w:val="000000"/>
          <w:szCs w:val="20"/>
        </w:rPr>
        <w:t xml:space="preserve"> to group by Company Name and sums Total Allowance per year</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b/>
          <w:bCs/>
          <w:color w:val="000000"/>
          <w:szCs w:val="20"/>
        </w:rPr>
      </w:pPr>
      <w:r>
        <w:rPr>
          <w:b/>
          <w:bCs/>
        </w:rPr>
        <w:t>vwHoldCoName_Emissions</w:t>
      </w:r>
    </w:p>
    <w:p>
      <w:pPr>
        <w:pStyle w:val="Normal"/>
        <w:autoSpaceDE w:val="false"/>
        <w:spacing w:lineRule="atLeast" w:line="240"/>
        <w:rPr>
          <w:color w:val="000000"/>
          <w:szCs w:val="20"/>
        </w:rPr>
      </w:pPr>
      <w:r>
        <w:rPr>
          <w:color w:val="000000"/>
          <w:szCs w:val="20"/>
        </w:rPr>
        <w:t>Combines the CEMS</w:t>
      </w:r>
      <w:r>
        <w:rPr/>
        <w:t>_Ownership and EmisQtr1/2/3/4 tables.</w:t>
      </w:r>
    </w:p>
    <w:p>
      <w:pPr>
        <w:pStyle w:val="Normal"/>
        <w:autoSpaceDE w:val="false"/>
        <w:spacing w:lineRule="atLeast" w:line="240"/>
        <w:rPr>
          <w:color w:val="000000"/>
          <w:szCs w:val="20"/>
        </w:rPr>
      </w:pPr>
      <w:r>
        <w:rPr>
          <w:color w:val="000000"/>
          <w:szCs w:val="20"/>
        </w:rPr>
        <w:t>Returns the company name for each unit and Total Emissions (based on ownership percent) for</w:t>
      </w:r>
    </w:p>
    <w:p>
      <w:pPr>
        <w:pStyle w:val="Normal"/>
        <w:autoSpaceDE w:val="false"/>
        <w:spacing w:lineRule="atLeast" w:line="240"/>
        <w:rPr>
          <w:color w:val="000000"/>
          <w:szCs w:val="20"/>
        </w:rPr>
      </w:pPr>
      <w:r>
        <w:rPr>
          <w:color w:val="000000"/>
          <w:szCs w:val="20"/>
        </w:rPr>
        <w:t>each quarter.</w:t>
      </w:r>
    </w:p>
    <w:p>
      <w:pPr>
        <w:pStyle w:val="Normal"/>
        <w:autoSpaceDE w:val="false"/>
        <w:spacing w:lineRule="atLeast" w:line="240"/>
        <w:rPr>
          <w:color w:val="000000"/>
          <w:szCs w:val="20"/>
        </w:rPr>
      </w:pPr>
      <w:r>
        <w:rPr>
          <w:color w:val="000000"/>
          <w:szCs w:val="20"/>
        </w:rPr>
      </w:r>
    </w:p>
    <w:p>
      <w:pPr>
        <w:pStyle w:val="TOAHeading"/>
        <w:autoSpaceDE w:val="false"/>
        <w:spacing w:lineRule="atLeast" w:line="240" w:before="0" w:after="0"/>
        <w:rPr>
          <w:rFonts w:ascii="Times New Roman" w:hAnsi="Times New Roman" w:cs="Times New Roman"/>
          <w:color w:val="000000"/>
          <w:szCs w:val="20"/>
        </w:rPr>
      </w:pPr>
      <w:r>
        <w:rPr>
          <w:rFonts w:cs="Times New Roman" w:ascii="Times New Roman" w:hAnsi="Times New Roman"/>
        </w:rPr>
        <w:t>spHoldCoName_Final</w:t>
      </w:r>
    </w:p>
    <w:p>
      <w:pPr>
        <w:pStyle w:val="Normal"/>
        <w:autoSpaceDE w:val="false"/>
        <w:spacing w:lineRule="atLeast" w:line="240"/>
        <w:rPr/>
      </w:pPr>
      <w:r>
        <w:rPr>
          <w:color w:val="000000"/>
          <w:szCs w:val="20"/>
        </w:rPr>
        <w:t xml:space="preserve">Combines the </w:t>
      </w:r>
      <w:r>
        <w:rPr/>
        <w:t>vwHoldCoName_Allowances and vwHoldCoName_Emissions views and returns</w:t>
      </w:r>
    </w:p>
    <w:p>
      <w:pPr>
        <w:pStyle w:val="Normal"/>
        <w:autoSpaceDE w:val="false"/>
        <w:spacing w:lineRule="atLeast" w:line="240"/>
        <w:rPr>
          <w:color w:val="000000"/>
          <w:szCs w:val="20"/>
        </w:rPr>
      </w:pPr>
      <w:r>
        <w:rPr/>
        <w:t>the Net Position for each year.</w:t>
      </w:r>
    </w:p>
    <w:p>
      <w:pPr>
        <w:pStyle w:val="Normal"/>
        <w:autoSpaceDE w:val="false"/>
        <w:spacing w:lineRule="atLeast" w:line="240"/>
        <w:rPr>
          <w:color w:val="000000"/>
          <w:szCs w:val="20"/>
        </w:rPr>
      </w:pPr>
      <w:r>
        <w:rPr>
          <w:color w:val="000000"/>
          <w:szCs w:val="20"/>
        </w:rPr>
        <w:t>The OperCoName views/stored procedures are the same as for HoldCoName.</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b/>
          <w:bCs/>
          <w:color w:val="000000"/>
          <w:szCs w:val="20"/>
          <w:u w:val="single"/>
        </w:rPr>
        <w:t>PROGRAM</w:t>
      </w:r>
    </w:p>
    <w:p>
      <w:pPr>
        <w:pStyle w:val="Normal"/>
        <w:autoSpaceDE w:val="false"/>
        <w:rPr>
          <w:b/>
          <w:bCs/>
          <w:szCs w:val="20"/>
        </w:rPr>
      </w:pPr>
      <w:r>
        <w:rPr>
          <w:b/>
          <w:bCs/>
          <w:szCs w:val="20"/>
        </w:rPr>
        <w:t>Database</w:t>
      </w:r>
    </w:p>
    <w:p>
      <w:pPr>
        <w:pStyle w:val="Normal"/>
        <w:autoSpaceDE w:val="false"/>
        <w:rPr>
          <w:szCs w:val="20"/>
        </w:rPr>
      </w:pPr>
      <w:r>
        <w:rPr>
          <w:szCs w:val="20"/>
        </w:rPr>
        <w:t>Once the Create Report button is clicked all data in the database is deleted except for the four Quarterly Emissions tables.  Since the emissions are in a quarterly report, only one of the four tables will be replaced every quarter.  The program first checks the database to determine the last Quarterly Emissions Report used.  It then searches the network to determine whether the next Quarterly Emissions Report has been downloaded.  If found, the existing quarterly emissions data will be deleted.  The program will then retrieve the files from the network and re-populate the appropriate database tables.</w:t>
      </w:r>
    </w:p>
    <w:p>
      <w:pPr>
        <w:pStyle w:val="Normal"/>
        <w:autoSpaceDE w:val="false"/>
        <w:rPr>
          <w:szCs w:val="20"/>
        </w:rPr>
      </w:pPr>
      <w:r>
        <w:rPr>
          <w:szCs w:val="20"/>
        </w:rPr>
      </w:r>
    </w:p>
    <w:p>
      <w:pPr>
        <w:pStyle w:val="Normal"/>
        <w:autoSpaceDE w:val="false"/>
        <w:rPr>
          <w:b/>
          <w:bCs/>
          <w:szCs w:val="20"/>
        </w:rPr>
      </w:pPr>
      <w:r>
        <w:rPr>
          <w:b/>
          <w:bCs/>
          <w:szCs w:val="20"/>
        </w:rPr>
        <w:t>Emissions</w:t>
      </w:r>
    </w:p>
    <w:p>
      <w:pPr>
        <w:pStyle w:val="Normal"/>
        <w:autoSpaceDE w:val="false"/>
        <w:rPr>
          <w:szCs w:val="20"/>
        </w:rPr>
      </w:pPr>
      <w:r>
        <w:rPr>
          <w:szCs w:val="20"/>
        </w:rPr>
        <w:t>Emissions will be populated with data from the last four Quarterly Emissions Reports.</w:t>
      </w:r>
    </w:p>
    <w:p>
      <w:pPr>
        <w:pStyle w:val="Normal"/>
        <w:autoSpaceDE w:val="false"/>
        <w:rPr>
          <w:szCs w:val="20"/>
        </w:rPr>
      </w:pPr>
      <w:r>
        <w:rPr>
          <w:szCs w:val="20"/>
        </w:rPr>
        <w:t>The year from each quarter is indicated next to the quarter number.</w:t>
      </w:r>
    </w:p>
    <w:p>
      <w:pPr>
        <w:pStyle w:val="Normal"/>
        <w:autoSpaceDE w:val="false"/>
        <w:rPr>
          <w:szCs w:val="20"/>
        </w:rPr>
      </w:pPr>
      <w:r>
        <w:rPr>
          <w:szCs w:val="20"/>
        </w:rPr>
      </w:r>
    </w:p>
    <w:p>
      <w:pPr>
        <w:pStyle w:val="Normal"/>
        <w:autoSpaceDE w:val="false"/>
        <w:rPr>
          <w:b/>
          <w:bCs/>
          <w:szCs w:val="20"/>
        </w:rPr>
      </w:pPr>
      <w:r>
        <w:rPr>
          <w:b/>
          <w:bCs/>
          <w:szCs w:val="20"/>
        </w:rPr>
        <w:t>Banked Allowances</w:t>
      </w:r>
    </w:p>
    <w:p>
      <w:pPr>
        <w:pStyle w:val="Normal"/>
        <w:autoSpaceDE w:val="false"/>
        <w:rPr/>
      </w:pPr>
      <w:r>
        <w:rPr>
          <w:szCs w:val="20"/>
        </w:rPr>
        <w:t xml:space="preserve">Banked Allowances is the sum of all </w:t>
      </w:r>
      <w:r>
        <w:rPr/>
        <w:t>unused allowances from previous years.</w:t>
      </w:r>
    </w:p>
    <w:p>
      <w:pPr>
        <w:pStyle w:val="Normal"/>
        <w:autoSpaceDE w:val="false"/>
        <w:rPr>
          <w:szCs w:val="20"/>
        </w:rPr>
      </w:pPr>
      <w:r>
        <w:rPr>
          <w:szCs w:val="20"/>
        </w:rPr>
        <w:t>The EPA’s Allowances Held Report may or may not include the emissions that should be subtracted from allowances for the previous year.  I order to determine which case is true, the program first subtracts the sum of allowances for the previous year from the banked allowances, then does the same with the current year.  When compared, if the two are within +/- 5% it is determined that the emissions have not been subtracted from the allowances for the previous year.  The program will account for this when creating the new report and automatically remove the emissions from the allowances.</w:t>
      </w:r>
    </w:p>
    <w:p>
      <w:pPr>
        <w:pStyle w:val="Normal"/>
        <w:autoSpaceDE w:val="false"/>
        <w:rPr>
          <w:szCs w:val="20"/>
        </w:rPr>
      </w:pPr>
      <w:r>
        <w:rPr>
          <w:szCs w:val="20"/>
        </w:rPr>
      </w:r>
    </w:p>
    <w:p>
      <w:pPr>
        <w:pStyle w:val="Normal"/>
        <w:autoSpaceDE w:val="false"/>
        <w:rPr>
          <w:b/>
          <w:bCs/>
          <w:szCs w:val="20"/>
        </w:rPr>
      </w:pPr>
      <w:r>
        <w:rPr>
          <w:b/>
          <w:bCs/>
          <w:szCs w:val="20"/>
        </w:rPr>
        <w:t>Net Position (Year Ending)</w:t>
      </w:r>
    </w:p>
    <w:p>
      <w:pPr>
        <w:pStyle w:val="Normal"/>
        <w:autoSpaceDE w:val="false"/>
        <w:rPr>
          <w:szCs w:val="20"/>
        </w:rPr>
      </w:pPr>
      <w:r>
        <w:rPr>
          <w:szCs w:val="20"/>
        </w:rPr>
        <w:t>The program projects what the net position will be at the end of each year for each company.</w:t>
      </w:r>
    </w:p>
    <w:p>
      <w:pPr>
        <w:pStyle w:val="Normal"/>
        <w:autoSpaceDE w:val="false"/>
        <w:rPr>
          <w:szCs w:val="20"/>
        </w:rPr>
      </w:pPr>
      <w:r>
        <w:rPr>
          <w:szCs w:val="20"/>
        </w:rPr>
        <w:t>Any Banked Allowances are credited to the next years Net Position which will then be shown in italics.</w:t>
      </w:r>
      <w:r>
        <w:br w:type="page"/>
      </w:r>
    </w:p>
    <w:p>
      <w:pPr>
        <w:pStyle w:val="Normal"/>
        <w:autoSpaceDE w:val="false"/>
        <w:rPr>
          <w:szCs w:val="20"/>
        </w:rPr>
      </w:pPr>
      <w:r>
        <w:rPr>
          <w:b/>
          <w:bCs/>
          <w:color w:val="000000"/>
          <w:szCs w:val="20"/>
          <w:u w:val="single"/>
        </w:rPr>
        <w:t>PROGRAM (cont’d)</w:t>
      </w:r>
    </w:p>
    <w:p>
      <w:pPr>
        <w:pStyle w:val="Normal"/>
        <w:autoSpaceDE w:val="false"/>
        <w:rPr>
          <w:b/>
          <w:bCs/>
          <w:szCs w:val="20"/>
        </w:rPr>
      </w:pPr>
      <w:r>
        <w:rPr>
          <w:b/>
          <w:bCs/>
          <w:szCs w:val="20"/>
        </w:rPr>
        <w:t>Summary Sheet</w:t>
      </w:r>
    </w:p>
    <w:p>
      <w:pPr>
        <w:pStyle w:val="Normal"/>
        <w:autoSpaceDE w:val="false"/>
        <w:rPr/>
      </w:pPr>
      <w:r>
        <w:rPr>
          <w:szCs w:val="20"/>
        </w:rPr>
        <w:t xml:space="preserve">The program then takes the top ten longs, shorts and number of transactions </w:t>
      </w:r>
      <w:r>
        <w:rPr>
          <w:i/>
          <w:iCs/>
          <w:szCs w:val="20"/>
        </w:rPr>
        <w:t>(to be determined)</w:t>
      </w:r>
      <w:r>
        <w:rPr>
          <w:szCs w:val="20"/>
        </w:rPr>
        <w:t xml:space="preserve"> from the Holding Company spreadsheet and creates a summary sheet.</w:t>
      </w:r>
    </w:p>
    <w:p>
      <w:pPr>
        <w:pStyle w:val="Normal"/>
        <w:autoSpaceDE w:val="false"/>
        <w:rPr>
          <w:szCs w:val="20"/>
        </w:rPr>
      </w:pPr>
      <w:r>
        <w:rPr>
          <w:szCs w:val="20"/>
        </w:rPr>
      </w:r>
    </w:p>
    <w:p>
      <w:pPr>
        <w:pStyle w:val="Normal"/>
        <w:autoSpaceDE w:val="false"/>
        <w:rPr>
          <w:b/>
          <w:bCs/>
          <w:szCs w:val="20"/>
        </w:rPr>
      </w:pPr>
      <w:r>
        <w:rPr>
          <w:b/>
          <w:bCs/>
          <w:szCs w:val="20"/>
        </w:rPr>
        <w:t>Total Market Chart</w:t>
      </w:r>
    </w:p>
    <w:p>
      <w:pPr>
        <w:pStyle w:val="Normal"/>
        <w:autoSpaceDE w:val="false"/>
        <w:rPr>
          <w:szCs w:val="20"/>
        </w:rPr>
      </w:pPr>
      <w:r>
        <w:rPr>
          <w:szCs w:val="20"/>
        </w:rPr>
        <w:t>The program then sums the Year Ending Net positions for each year and creates a chart indicating the balance of the Total Market for each year.</w:t>
      </w:r>
    </w:p>
    <w:p>
      <w:pPr>
        <w:pStyle w:val="Normal"/>
        <w:autoSpaceDE w:val="false"/>
        <w:rPr>
          <w:szCs w:val="20"/>
        </w:rPr>
      </w:pPr>
      <w:r>
        <w:rPr>
          <w:szCs w:val="20"/>
        </w:rPr>
      </w:r>
    </w:p>
    <w:p>
      <w:pPr>
        <w:pStyle w:val="Normal"/>
        <w:autoSpaceDE w:val="false"/>
        <w:rPr>
          <w:b/>
          <w:bCs/>
          <w:szCs w:val="20"/>
        </w:rPr>
      </w:pPr>
      <w:r>
        <w:rPr>
          <w:b/>
          <w:bCs/>
          <w:szCs w:val="20"/>
        </w:rPr>
        <w:t>Saving the Worksheet</w:t>
      </w:r>
    </w:p>
    <w:p>
      <w:pPr>
        <w:pStyle w:val="Normal"/>
        <w:autoSpaceDE w:val="false"/>
        <w:rPr/>
      </w:pPr>
      <w:r>
        <w:rPr>
          <w:szCs w:val="20"/>
        </w:rPr>
        <w:t xml:space="preserve">The worksheet will then be saved to </w:t>
      </w:r>
      <w:hyperlink r:id="rId7">
        <w:r>
          <w:rPr>
            <w:rStyle w:val="Hyperlink"/>
            <w:szCs w:val="20"/>
          </w:rPr>
          <w:t>O:\Liquids\Liquids\Coal\SO2_Report\Weekly SO2 Report</w:t>
        </w:r>
      </w:hyperlink>
      <w:r>
        <w:rPr>
          <w:szCs w:val="20"/>
        </w:rPr>
        <w:t>.</w:t>
      </w:r>
    </w:p>
    <w:p>
      <w:pPr>
        <w:pStyle w:val="Normal"/>
        <w:autoSpaceDE w:val="false"/>
        <w:rPr>
          <w:szCs w:val="20"/>
        </w:rPr>
      </w:pPr>
      <w:r>
        <w:rPr>
          <w:szCs w:val="20"/>
        </w:rPr>
        <w:t>With the file naming convention:</w:t>
        <w:tab/>
        <w:t>SO2 Report YYYYMMDD.xls</w:t>
      </w:r>
    </w:p>
    <w:p>
      <w:pPr>
        <w:pStyle w:val="Normal"/>
        <w:autoSpaceDE w:val="false"/>
        <w:spacing w:lineRule="atLeast" w:line="240"/>
        <w:rPr>
          <w:szCs w:val="20"/>
        </w:rPr>
      </w:pPr>
      <w:r>
        <w:rPr>
          <w:szCs w:val="20"/>
        </w:rPr>
        <w:t>(where YYYY = current year, MM = current Month and DD = current day).</w:t>
      </w:r>
    </w:p>
    <w:p>
      <w:pPr>
        <w:pStyle w:val="Normal"/>
        <w:autoSpaceDE w:val="false"/>
        <w:spacing w:lineRule="atLeast" w:line="240"/>
        <w:rPr>
          <w:szCs w:val="20"/>
        </w:rPr>
      </w:pPr>
      <w:r>
        <w:rPr>
          <w:szCs w:val="20"/>
        </w:rPr>
      </w:r>
    </w:p>
    <w:p>
      <w:pPr>
        <w:pStyle w:val="Normal"/>
        <w:autoSpaceDE w:val="false"/>
        <w:spacing w:lineRule="atLeast" w:line="240"/>
        <w:rPr>
          <w:b/>
          <w:bCs/>
          <w:color w:val="000000"/>
          <w:szCs w:val="20"/>
          <w:u w:val="single"/>
        </w:rPr>
      </w:pPr>
      <w:r>
        <w:rPr>
          <w:b/>
          <w:bCs/>
          <w:color w:val="000000"/>
          <w:szCs w:val="20"/>
          <w:u w:val="single"/>
        </w:rPr>
        <w:t>PROCESS</w:t>
      </w:r>
    </w:p>
    <w:p>
      <w:pPr>
        <w:pStyle w:val="Normal"/>
        <w:autoSpaceDE w:val="false"/>
        <w:spacing w:lineRule="atLeast" w:line="240"/>
        <w:rPr>
          <w:b/>
          <w:bCs/>
          <w:color w:val="000000"/>
          <w:szCs w:val="20"/>
          <w:u w:val="single"/>
        </w:rPr>
      </w:pPr>
      <w:r>
        <w:rPr>
          <w:b/>
          <w:bCs/>
          <w:color w:val="000000"/>
          <w:szCs w:val="20"/>
          <w:u w:val="single"/>
        </w:rPr>
      </w:r>
    </w:p>
    <w:p>
      <w:pPr>
        <w:pStyle w:val="Normal"/>
        <w:autoSpaceDE w:val="false"/>
        <w:spacing w:lineRule="atLeast" w:line="240"/>
        <w:rPr/>
      </w:pPr>
      <w:r>
        <w:rPr/>
        <w:object w:dxaOrig="10361" w:dyaOrig="665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6.6pt;height:305.9pt" filled="f" o:ole="">
            <v:imagedata r:id="rId9" o:title=""/>
          </v:shape>
          <o:OLEObject Type="Embed" ProgID="" ShapeID="ole_rId8" DrawAspect="Content" ObjectID="_1109268216" r:id="rId8"/>
        </w:object>
      </w:r>
      <w:r>
        <mc:AlternateContent>
          <mc:Choice Requires="wps">
            <w:drawing>
              <wp:anchor behindDoc="0" distT="0" distB="0" distL="114935" distR="114935" simplePos="0" locked="0" layoutInCell="1" allowOverlap="1" relativeHeight="13">
                <wp:simplePos x="0" y="0"/>
                <wp:positionH relativeFrom="column">
                  <wp:posOffset>2514600</wp:posOffset>
                </wp:positionH>
                <wp:positionV relativeFrom="paragraph">
                  <wp:posOffset>2910840</wp:posOffset>
                </wp:positionV>
                <wp:extent cx="3771900" cy="1257300"/>
                <wp:effectExtent l="0" t="0" r="0" b="0"/>
                <wp:wrapNone/>
                <wp:docPr id="3" name="Frame1"/>
                <a:graphic xmlns:a="http://schemas.openxmlformats.org/drawingml/2006/main">
                  <a:graphicData uri="http://schemas.microsoft.com/office/word/2010/wordprocessingShape">
                    <wps:wsp>
                      <wps:cNvSpPr txBox="1"/>
                      <wps:spPr>
                        <a:xfrm>
                          <a:off x="0" y="0"/>
                          <a:ext cx="3771900" cy="1257300"/>
                        </a:xfrm>
                        <a:prstGeom prst="rect"/>
                        <a:solidFill>
                          <a:srgbClr val="FFFFFF"/>
                        </a:solidFill>
                      </wps:spPr>
                      <wps:txbx>
                        <w:txbxContent>
                          <w:p>
                            <w:pPr>
                              <w:pStyle w:val="Normal"/>
                              <w:numPr>
                                <w:ilvl w:val="0"/>
                                <w:numId w:val="2"/>
                              </w:numPr>
                              <w:rPr>
                                <w:sz w:val="18"/>
                              </w:rPr>
                            </w:pPr>
                            <w:r>
                              <w:rPr>
                                <w:sz w:val="18"/>
                              </w:rPr>
                              <w:t>Jaguar ETLM system automatically downloads Allowance and Emissions data from EPA website to network.</w:t>
                            </w:r>
                          </w:p>
                          <w:p>
                            <w:pPr>
                              <w:pStyle w:val="Normal"/>
                              <w:numPr>
                                <w:ilvl w:val="0"/>
                                <w:numId w:val="2"/>
                              </w:numPr>
                              <w:rPr>
                                <w:sz w:val="18"/>
                              </w:rPr>
                            </w:pPr>
                            <w:r>
                              <w:rPr>
                                <w:sz w:val="18"/>
                              </w:rPr>
                              <w:t>Trader Updates ownership spreadsheets and copies to network.</w:t>
                            </w:r>
                          </w:p>
                          <w:p>
                            <w:pPr>
                              <w:pStyle w:val="Normal"/>
                              <w:numPr>
                                <w:ilvl w:val="0"/>
                                <w:numId w:val="2"/>
                              </w:numPr>
                              <w:rPr>
                                <w:sz w:val="18"/>
                              </w:rPr>
                            </w:pPr>
                            <w:r>
                              <w:rPr>
                                <w:sz w:val="18"/>
                              </w:rPr>
                              <w:t>SO2 program retreives files from network.</w:t>
                            </w:r>
                          </w:p>
                          <w:p>
                            <w:pPr>
                              <w:pStyle w:val="Normal"/>
                              <w:numPr>
                                <w:ilvl w:val="0"/>
                                <w:numId w:val="2"/>
                              </w:numPr>
                              <w:rPr>
                                <w:sz w:val="18"/>
                              </w:rPr>
                            </w:pPr>
                            <w:r>
                              <w:rPr>
                                <w:sz w:val="18"/>
                              </w:rPr>
                              <w:t>SO2 program deletes and repopulates the tables with new data.</w:t>
                            </w:r>
                          </w:p>
                          <w:p>
                            <w:pPr>
                              <w:pStyle w:val="Normal"/>
                              <w:numPr>
                                <w:ilvl w:val="0"/>
                                <w:numId w:val="2"/>
                              </w:numPr>
                              <w:rPr>
                                <w:sz w:val="18"/>
                              </w:rPr>
                            </w:pPr>
                            <w:r>
                              <w:rPr>
                                <w:sz w:val="18"/>
                              </w:rPr>
                              <w:t>SO2 program retreives new data from the tables.</w:t>
                            </w:r>
                          </w:p>
                          <w:p>
                            <w:pPr>
                              <w:pStyle w:val="Normal"/>
                              <w:numPr>
                                <w:ilvl w:val="0"/>
                                <w:numId w:val="2"/>
                              </w:numPr>
                              <w:rPr>
                                <w:sz w:val="18"/>
                              </w:rPr>
                            </w:pPr>
                            <w:r>
                              <w:rPr>
                                <w:sz w:val="18"/>
                              </w:rPr>
                              <w:t>SO2 program compiles the data and generates the final SO2 Report.</w:t>
                            </w:r>
                          </w:p>
                        </w:txbxContent>
                      </wps:txbx>
                      <wps:bodyPr anchor="t" lIns="92075" tIns="46355" rIns="92075" bIns="46355">
                        <a:noAutofit/>
                      </wps:bodyPr>
                    </wps:wsp>
                  </a:graphicData>
                </a:graphic>
              </wp:anchor>
            </w:drawing>
          </mc:Choice>
          <mc:Fallback>
            <w:pict>
              <v:rect fillcolor="#FFFFFF" style="position:absolute;rotation:-0;width:297pt;height:99pt;mso-wrap-distance-left:9.05pt;mso-wrap-distance-right:9.05pt;mso-wrap-distance-top:0pt;mso-wrap-distance-bottom:0pt;margin-top:229.2pt;mso-position-vertical-relative:text;margin-left:198pt;mso-position-horizontal-relative:text">
                <v:textbox inset="0.100694444444444in,0.0506944444444444in,0.100694444444444in,0.0506944444444444in">
                  <w:txbxContent>
                    <w:p>
                      <w:pPr>
                        <w:pStyle w:val="Normal"/>
                        <w:numPr>
                          <w:ilvl w:val="0"/>
                          <w:numId w:val="2"/>
                        </w:numPr>
                        <w:rPr>
                          <w:sz w:val="18"/>
                        </w:rPr>
                      </w:pPr>
                      <w:r>
                        <w:rPr>
                          <w:sz w:val="18"/>
                        </w:rPr>
                        <w:t>Jaguar ETLM system automatically downloads Allowance and Emissions data from EPA website to network.</w:t>
                      </w:r>
                    </w:p>
                    <w:p>
                      <w:pPr>
                        <w:pStyle w:val="Normal"/>
                        <w:numPr>
                          <w:ilvl w:val="0"/>
                          <w:numId w:val="2"/>
                        </w:numPr>
                        <w:rPr>
                          <w:sz w:val="18"/>
                        </w:rPr>
                      </w:pPr>
                      <w:r>
                        <w:rPr>
                          <w:sz w:val="18"/>
                        </w:rPr>
                        <w:t>Trader Updates ownership spreadsheets and copies to network.</w:t>
                      </w:r>
                    </w:p>
                    <w:p>
                      <w:pPr>
                        <w:pStyle w:val="Normal"/>
                        <w:numPr>
                          <w:ilvl w:val="0"/>
                          <w:numId w:val="2"/>
                        </w:numPr>
                        <w:rPr>
                          <w:sz w:val="18"/>
                        </w:rPr>
                      </w:pPr>
                      <w:r>
                        <w:rPr>
                          <w:sz w:val="18"/>
                        </w:rPr>
                        <w:t>SO2 program retreives files from network.</w:t>
                      </w:r>
                    </w:p>
                    <w:p>
                      <w:pPr>
                        <w:pStyle w:val="Normal"/>
                        <w:numPr>
                          <w:ilvl w:val="0"/>
                          <w:numId w:val="2"/>
                        </w:numPr>
                        <w:rPr>
                          <w:sz w:val="18"/>
                        </w:rPr>
                      </w:pPr>
                      <w:r>
                        <w:rPr>
                          <w:sz w:val="18"/>
                        </w:rPr>
                        <w:t>SO2 program deletes and repopulates the tables with new data.</w:t>
                      </w:r>
                    </w:p>
                    <w:p>
                      <w:pPr>
                        <w:pStyle w:val="Normal"/>
                        <w:numPr>
                          <w:ilvl w:val="0"/>
                          <w:numId w:val="2"/>
                        </w:numPr>
                        <w:rPr>
                          <w:sz w:val="18"/>
                        </w:rPr>
                      </w:pPr>
                      <w:r>
                        <w:rPr>
                          <w:sz w:val="18"/>
                        </w:rPr>
                        <w:t>SO2 program retreives new data from the tables.</w:t>
                      </w:r>
                    </w:p>
                    <w:p>
                      <w:pPr>
                        <w:pStyle w:val="Normal"/>
                        <w:numPr>
                          <w:ilvl w:val="0"/>
                          <w:numId w:val="2"/>
                        </w:numPr>
                        <w:rPr>
                          <w:sz w:val="18"/>
                        </w:rPr>
                      </w:pPr>
                      <w:r>
                        <w:rPr>
                          <w:sz w:val="18"/>
                        </w:rPr>
                        <w:t>SO2 program compiles the data and generates the final SO2 Report.</w:t>
                      </w:r>
                    </w:p>
                  </w:txbxContent>
                </v:textbox>
                <w10:wrap type="none"/>
              </v:rect>
            </w:pict>
          </mc:Fallback>
        </mc:AlternateContent>
      </w:r>
    </w:p>
    <w:sectPr>
      <w:headerReference w:type="default" r:id="rId10"/>
      <w:headerReference w:type="first" r:id="rId11"/>
      <w:footerReference w:type="default" r:id="rId12"/>
      <w:footerReference w:type="first" r:id="rId13"/>
      <w:type w:val="nextPage"/>
      <w:pgSz w:w="12240" w:h="15840"/>
      <w:pgMar w:left="1440" w:right="1267" w:gutter="0" w:header="720" w:top="252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Perpet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9540" w:leader="none"/>
      </w:tabs>
      <w:jc w:val="center"/>
      <w:rPr/>
    </w:pPr>
    <w:r>
      <w:rPr/>
      <w:drawing>
        <wp:inline distT="0" distB="0" distL="0" distR="0">
          <wp:extent cx="765810" cy="76581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39" t="-39" r="-39" b="-39"/>
                  <a:stretch>
                    <a:fillRect/>
                  </a:stretch>
                </pic:blipFill>
                <pic:spPr bwMode="auto">
                  <a:xfrm>
                    <a:off x="0" y="0"/>
                    <a:ext cx="765810" cy="765810"/>
                  </a:xfrm>
                  <a:prstGeom prst="rect">
                    <a:avLst/>
                  </a:prstGeom>
                  <a:noFill/>
                </pic:spPr>
              </pic:pic>
            </a:graphicData>
          </a:graphic>
        </wp:inline>
      </w:drawing>
    </w:r>
    <w:r>
      <w:rPr/>
      <w:tab/>
    </w:r>
    <w:r>
      <w:rPr>
        <w:b/>
        <w:bCs/>
        <w:sz w:val="32"/>
      </w:rPr>
      <w:t>SO2 Report Documentation</w:t>
    </w:r>
    <w:r>
      <w:rPr/>
      <w:tab/>
    </w:r>
    <w:r>
      <w:rPr/>
      <w:drawing>
        <wp:inline distT="0" distB="0" distL="0" distR="0">
          <wp:extent cx="1209675" cy="762000"/>
          <wp:effectExtent l="0" t="0" r="0" b="0"/>
          <wp:docPr id="5" name="color4_underneat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4_underneath" descr="" title=""/>
                  <pic:cNvPicPr>
                    <a:picLocks noChangeAspect="1" noChangeArrowheads="1"/>
                  </pic:cNvPicPr>
                </pic:nvPicPr>
                <pic:blipFill>
                  <a:blip r:embed="rId2"/>
                  <a:srcRect l="-30" t="-47" r="-30" b="-47"/>
                  <a:stretch>
                    <a:fillRect/>
                  </a:stretch>
                </pic:blipFill>
                <pic:spPr bwMode="auto">
                  <a:xfrm>
                    <a:off x="0" y="0"/>
                    <a:ext cx="1209675" cy="7620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caps/>
      <w:szCs w:val="28"/>
      <w:u w:val="single"/>
    </w:rPr>
  </w:style>
  <w:style w:type="paragraph" w:styleId="Heading2">
    <w:name w:val="heading 2"/>
    <w:basedOn w:val="Normal"/>
    <w:next w:val="Normal"/>
    <w:qFormat/>
    <w:pPr>
      <w:keepNext w:val="true"/>
      <w:numPr>
        <w:ilvl w:val="1"/>
        <w:numId w:val="1"/>
      </w:numPr>
      <w:jc w:val="center"/>
      <w:outlineLvl w:val="1"/>
    </w:pPr>
    <w:rPr>
      <w:b/>
      <w:bCs/>
      <w:sz w:val="56"/>
    </w:rPr>
  </w:style>
  <w:style w:type="paragraph" w:styleId="Heading3">
    <w:name w:val="heading 3"/>
    <w:basedOn w:val="Normal"/>
    <w:next w:val="Normal"/>
    <w:qFormat/>
    <w:pPr>
      <w:keepNext w:val="true"/>
      <w:numPr>
        <w:ilvl w:val="2"/>
        <w:numId w:val="1"/>
      </w:numPr>
      <w:jc w:val="center"/>
      <w:outlineLvl w:val="2"/>
    </w:pPr>
    <w:rPr>
      <w:b/>
      <w:bCs/>
      <w:color w:val="000080"/>
      <w:sz w:val="72"/>
    </w:rPr>
  </w:style>
  <w:style w:type="paragraph" w:styleId="Heading4">
    <w:name w:val="heading 4"/>
    <w:basedOn w:val="Normal"/>
    <w:next w:val="Normal"/>
    <w:qFormat/>
    <w:pPr>
      <w:keepNext w:val="true"/>
      <w:numPr>
        <w:ilvl w:val="3"/>
        <w:numId w:val="1"/>
      </w:numPr>
      <w:outlineLvl w:val="3"/>
    </w:pPr>
    <w:rPr>
      <w:b/>
      <w:bCs/>
      <w:sz w:val="48"/>
      <w:u w:val="single"/>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val="true"/>
      <w:numPr>
        <w:ilvl w:val="5"/>
        <w:numId w:val="1"/>
      </w:numPr>
      <w:jc w:val="center"/>
      <w:outlineLvl w:val="5"/>
    </w:pPr>
    <w:rPr>
      <w:rFonts w:ascii="Arial" w:hAnsi="Arial" w:cs="Arial"/>
      <w:b/>
      <w:bCs/>
      <w:color w:val="000000"/>
      <w:sz w:val="20"/>
      <w:szCs w:val="20"/>
    </w:rPr>
  </w:style>
  <w:style w:type="paragraph" w:styleId="Heading7">
    <w:name w:val="heading 7"/>
    <w:basedOn w:val="Normal"/>
    <w:next w:val="Normal"/>
    <w:qFormat/>
    <w:pPr>
      <w:keepNext w:val="true"/>
      <w:numPr>
        <w:ilvl w:val="6"/>
        <w:numId w:val="1"/>
      </w:numPr>
      <w:outlineLvl w:val="6"/>
    </w:pPr>
    <w:rPr>
      <w:b/>
      <w:bCs/>
      <w:sz w:val="22"/>
    </w:rPr>
  </w:style>
  <w:style w:type="paragraph" w:styleId="Heading8">
    <w:name w:val="heading 8"/>
    <w:basedOn w:val="Normal"/>
    <w:next w:val="Normal"/>
    <w:qFormat/>
    <w:pPr>
      <w:keepNext w:val="true"/>
      <w:numPr>
        <w:ilvl w:val="7"/>
        <w:numId w:val="1"/>
      </w:numPr>
      <w:outlineLvl w:val="7"/>
    </w:pPr>
    <w:rPr>
      <w:color w:val="000080"/>
      <w:sz w:val="72"/>
    </w:rPr>
  </w:style>
  <w:style w:type="paragraph" w:styleId="Heading9">
    <w:name w:val="heading 9"/>
    <w:basedOn w:val="Normal"/>
    <w:next w:val="Normal"/>
    <w:qFormat/>
    <w:pPr>
      <w:keepNext w:val="true"/>
      <w:numPr>
        <w:ilvl w:val="8"/>
        <w:numId w:val="1"/>
      </w:numPr>
      <w:jc w:val="center"/>
      <w:outlineLvl w:val="8"/>
    </w:pPr>
    <w:rPr>
      <w:color w:val="000080"/>
      <w:sz w:val="7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urllisting1">
    <w:name w:val="urllisting1"/>
    <w:basedOn w:val="DefaultParagraphFont"/>
    <w:qFormat/>
    <w:rPr>
      <w:rFonts w:ascii="Arial" w:hAnsi="Arial" w:cs="Arial"/>
      <w:color w:val="333333"/>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b/>
      <w:bCs/>
      <w:sz w:val="22"/>
    </w:rPr>
  </w:style>
  <w:style w:type="paragraph" w:styleId="TOC2">
    <w:name w:val="toc 2"/>
    <w:basedOn w:val="Normal"/>
    <w:next w:val="Normal"/>
    <w:pPr>
      <w:ind w:hanging="0" w:start="245" w:end="0"/>
    </w:pPr>
    <w:rPr>
      <w:bCs/>
      <w:sz w:val="20"/>
    </w:rPr>
  </w:style>
  <w:style w:type="paragraph" w:styleId="TOC3">
    <w:name w:val="toc 3"/>
    <w:basedOn w:val="Normal"/>
    <w:next w:val="Normal"/>
    <w:pPr>
      <w:ind w:hanging="0" w:start="432" w:end="0"/>
    </w:pPr>
    <w:rPr/>
  </w:style>
  <w:style w:type="paragraph" w:styleId="TOC4">
    <w:name w:val="toc 4"/>
    <w:basedOn w:val="Normal"/>
    <w:next w:val="Normal"/>
    <w:pPr>
      <w:ind w:hanging="0" w:start="480" w:end="0"/>
    </w:pPr>
    <w:rPr/>
  </w:style>
  <w:style w:type="paragraph" w:styleId="TOC5">
    <w:name w:val="toc 5"/>
    <w:basedOn w:val="Normal"/>
    <w:next w:val="Normal"/>
    <w:pPr>
      <w:ind w:hanging="0" w:start="720" w:end="0"/>
    </w:pPr>
    <w:rPr/>
  </w:style>
  <w:style w:type="paragraph" w:styleId="TOC6">
    <w:name w:val="toc 6"/>
    <w:basedOn w:val="Normal"/>
    <w:next w:val="Normal"/>
    <w:pPr>
      <w:ind w:hanging="0" w:start="96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40" w:end="0"/>
    </w:pPr>
    <w:rPr/>
  </w:style>
  <w:style w:type="paragraph" w:styleId="TOC9">
    <w:name w:val="toc 9"/>
    <w:basedOn w:val="Normal"/>
    <w:next w:val="Normal"/>
    <w:pPr>
      <w:ind w:hanging="0" w:start="1680" w:end="0"/>
    </w:pPr>
    <w:rPr/>
  </w:style>
  <w:style w:type="paragraph" w:styleId="Index1">
    <w:name w:val="index 1"/>
    <w:basedOn w:val="Normal"/>
    <w:next w:val="Normal"/>
    <w:pPr>
      <w:ind w:hanging="240" w:start="240" w:end="0"/>
    </w:pPr>
    <w:rPr>
      <w:bCs/>
      <w:i/>
      <w:iCs/>
      <w:caps/>
      <w:sz w:val="22"/>
    </w:rPr>
  </w:style>
  <w:style w:type="paragraph" w:styleId="Index2">
    <w:name w:val="index 2"/>
    <w:basedOn w:val="Normal"/>
    <w:next w:val="Normal"/>
    <w:pPr>
      <w:ind w:hanging="240" w:start="480" w:end="0"/>
    </w:pPr>
    <w:rPr>
      <w:szCs w:val="21"/>
    </w:rPr>
  </w:style>
  <w:style w:type="paragraph" w:styleId="Index3">
    <w:name w:val="index 3"/>
    <w:basedOn w:val="Normal"/>
    <w:next w:val="Normal"/>
    <w:pPr>
      <w:ind w:hanging="240" w:start="720" w:end="0"/>
    </w:pPr>
    <w:rPr>
      <w:szCs w:val="21"/>
    </w:rPr>
  </w:style>
  <w:style w:type="paragraph" w:styleId="Index4">
    <w:name w:val="Index 4"/>
    <w:basedOn w:val="Normal"/>
    <w:next w:val="Normal"/>
    <w:qFormat/>
    <w:pPr>
      <w:ind w:hanging="240" w:start="960" w:end="0"/>
    </w:pPr>
    <w:rPr>
      <w:szCs w:val="21"/>
    </w:rPr>
  </w:style>
  <w:style w:type="paragraph" w:styleId="Index5">
    <w:name w:val="Index 5"/>
    <w:basedOn w:val="Normal"/>
    <w:next w:val="Normal"/>
    <w:qFormat/>
    <w:pPr>
      <w:ind w:hanging="240" w:start="1200" w:end="0"/>
    </w:pPr>
    <w:rPr>
      <w:szCs w:val="21"/>
    </w:rPr>
  </w:style>
  <w:style w:type="paragraph" w:styleId="Index6">
    <w:name w:val="Index 6"/>
    <w:basedOn w:val="Normal"/>
    <w:next w:val="Normal"/>
    <w:qFormat/>
    <w:pPr>
      <w:ind w:hanging="240" w:start="1440" w:end="0"/>
    </w:pPr>
    <w:rPr>
      <w:szCs w:val="21"/>
    </w:rPr>
  </w:style>
  <w:style w:type="paragraph" w:styleId="Index7">
    <w:name w:val="Index 7"/>
    <w:basedOn w:val="Normal"/>
    <w:next w:val="Normal"/>
    <w:qFormat/>
    <w:pPr>
      <w:ind w:hanging="240" w:start="1680" w:end="0"/>
    </w:pPr>
    <w:rPr>
      <w:szCs w:val="21"/>
    </w:rPr>
  </w:style>
  <w:style w:type="paragraph" w:styleId="Index8">
    <w:name w:val="Index 8"/>
    <w:basedOn w:val="Normal"/>
    <w:next w:val="Normal"/>
    <w:qFormat/>
    <w:pPr>
      <w:ind w:hanging="240" w:start="1920" w:end="0"/>
    </w:pPr>
    <w:rPr>
      <w:szCs w:val="21"/>
    </w:rPr>
  </w:style>
  <w:style w:type="paragraph" w:styleId="Index9">
    <w:name w:val="Index 9"/>
    <w:basedOn w:val="Normal"/>
    <w:next w:val="Normal"/>
    <w:qFormat/>
    <w:pPr>
      <w:ind w:hanging="240" w:start="2160" w:end="0"/>
    </w:pPr>
    <w:rPr>
      <w:szCs w:val="21"/>
    </w:rPr>
  </w:style>
  <w:style w:type="paragraph" w:styleId="IndexHeading">
    <w:name w:val="index heading"/>
    <w:basedOn w:val="Normal"/>
    <w:next w:val="Index1"/>
    <w:pPr>
      <w:spacing w:before="240" w:after="120"/>
      <w:jc w:val="center"/>
    </w:pPr>
    <w:rPr>
      <w:b/>
      <w:bCs/>
      <w:szCs w:val="31"/>
    </w:rPr>
  </w:style>
  <w:style w:type="paragraph" w:styleId="BodyTextIndent">
    <w:name w:val="Body Text Indent"/>
    <w:basedOn w:val="Normal"/>
    <w:pPr>
      <w:ind w:firstLine="360" w:start="360" w:end="0"/>
    </w:pPr>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22"/>
    </w:rPr>
  </w:style>
  <w:style w:type="paragraph" w:styleId="DocumentMap">
    <w:name w:val="Document Map"/>
    <w:basedOn w:val="Normal"/>
    <w:qFormat/>
    <w:pPr>
      <w:shd w:fill="000080" w:val="clear"/>
    </w:pPr>
    <w:rPr>
      <w:rFonts w:cs="Tahoma"/>
      <w:sz w:val="18"/>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epa.gov/airmarkets/tracking/ats/allow.zip" TargetMode="External"/><Relationship Id="rId5" Type="http://schemas.openxmlformats.org/officeDocument/2006/relationships/hyperlink" Target="http://www.epa.gov/airmarkets/emissions/prelimarp/index.html" TargetMode="External"/><Relationship Id="rId6" Type="http://schemas.openxmlformats.org/officeDocument/2006/relationships/hyperlink" Target="../../../../../houston/common/Liquids/Liquids/Coal/SO2_Report/Files" TargetMode="External"/><Relationship Id="rId7" Type="http://schemas.openxmlformats.org/officeDocument/2006/relationships/hyperlink" Target="../../../../../houston/common/Liquids/Liquids/Coal/SO2_Report/Weekly%20SO2%20Report" TargetMode="External"/><Relationship Id="rId8" Type="http://schemas.openxmlformats.org/officeDocument/2006/relationships/oleObject" Target="embeddings/oleObject1.bin"/><Relationship Id="rId9" Type="http://schemas.openxmlformats.org/officeDocument/2006/relationships/image" Target="media/image3.wmf"/><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2001-07-25T10:55:00Z</dcterms:created>
  <dc:creator>Marcia Littledale</dc:creator>
  <dc:description/>
  <dc:language>en-CA</dc:language>
  <cp:lastModifiedBy>wwells</cp:lastModifiedBy>
  <cp:lastPrinted>2001-07-26T16:02:00Z</cp:lastPrinted>
  <dcterms:modified xsi:type="dcterms:W3CDTF">2001-07-26T18:34:00Z</dcterms:modified>
  <cp:revision>12</cp:revision>
  <dc:subject/>
  <dc:title>Autodownload</dc:title>
</cp:coreProperties>
</file>